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A3" w:rsidRPr="00491729" w:rsidRDefault="00AD3EA3" w:rsidP="00AD3EA3"/>
    <w:p w:rsidR="00AD3EA3" w:rsidRPr="00491729" w:rsidRDefault="00AD3EA3" w:rsidP="00AD3EA3">
      <w:r w:rsidRPr="00491729">
        <w:t xml:space="preserve">SREDNJE STRUKOVNE ŠKOLE  </w:t>
      </w:r>
    </w:p>
    <w:p w:rsidR="00AD3EA3" w:rsidRPr="00491729" w:rsidRDefault="00AD3EA3" w:rsidP="00AD3EA3">
      <w:r w:rsidRPr="00491729">
        <w:t>BANA  JOSIPA JELAČIĆA</w:t>
      </w:r>
    </w:p>
    <w:p w:rsidR="00AD3EA3" w:rsidRPr="00491729" w:rsidRDefault="00AD3EA3" w:rsidP="00AD3EA3">
      <w:r w:rsidRPr="00491729">
        <w:t xml:space="preserve">              SINJ</w:t>
      </w:r>
    </w:p>
    <w:p w:rsidR="00AD3EA3" w:rsidRPr="00491729" w:rsidRDefault="00AD3EA3" w:rsidP="00AD3EA3">
      <w:r w:rsidRPr="00491729">
        <w:t>Klasa:003-06/17-02/12</w:t>
      </w:r>
    </w:p>
    <w:p w:rsidR="00AD3EA3" w:rsidRPr="00491729" w:rsidRDefault="00AD3EA3" w:rsidP="00AD3EA3">
      <w:proofErr w:type="spellStart"/>
      <w:r w:rsidRPr="00491729">
        <w:t>Urbroj</w:t>
      </w:r>
      <w:proofErr w:type="spellEnd"/>
      <w:r w:rsidRPr="00491729">
        <w:t>:2175-28-01-17-1</w:t>
      </w:r>
    </w:p>
    <w:p w:rsidR="00AD3EA3" w:rsidRPr="00491729" w:rsidRDefault="00AD3EA3" w:rsidP="00AD3EA3">
      <w:r w:rsidRPr="00491729">
        <w:t>U Sinju, 10.srpnja  2017.</w:t>
      </w:r>
    </w:p>
    <w:p w:rsidR="00AD3EA3" w:rsidRPr="00491729" w:rsidRDefault="00AD3EA3" w:rsidP="00AD3EA3"/>
    <w:p w:rsidR="00AD3EA3" w:rsidRPr="00491729" w:rsidRDefault="00AD3EA3" w:rsidP="00AD3EA3"/>
    <w:p w:rsidR="00AD3EA3" w:rsidRPr="00491729" w:rsidRDefault="00AD3EA3" w:rsidP="00AD3EA3"/>
    <w:p w:rsidR="00AD3EA3" w:rsidRPr="00491729" w:rsidRDefault="00AD3EA3" w:rsidP="00AD3EA3"/>
    <w:p w:rsidR="00AD3EA3" w:rsidRPr="00491729" w:rsidRDefault="00AD3EA3" w:rsidP="00AD3EA3">
      <w:pPr>
        <w:jc w:val="center"/>
        <w:rPr>
          <w:b/>
        </w:rPr>
      </w:pPr>
      <w:r w:rsidRPr="00491729">
        <w:rPr>
          <w:b/>
        </w:rPr>
        <w:t xml:space="preserve">Z A P I S N I K </w:t>
      </w:r>
    </w:p>
    <w:p w:rsidR="00AD3EA3" w:rsidRPr="00491729" w:rsidRDefault="00AD3EA3" w:rsidP="00AD3EA3">
      <w:pPr>
        <w:jc w:val="center"/>
        <w:rPr>
          <w:b/>
        </w:rPr>
      </w:pPr>
      <w:r w:rsidRPr="00491729">
        <w:rPr>
          <w:b/>
        </w:rPr>
        <w:t xml:space="preserve">  </w:t>
      </w:r>
      <w:proofErr w:type="spellStart"/>
      <w:r w:rsidRPr="00491729">
        <w:rPr>
          <w:b/>
        </w:rPr>
        <w:t>konstituirajuće</w:t>
      </w:r>
      <w:proofErr w:type="spellEnd"/>
      <w:r w:rsidRPr="00491729">
        <w:rPr>
          <w:b/>
        </w:rPr>
        <w:t xml:space="preserve"> sjednice Školskog odbora</w:t>
      </w:r>
    </w:p>
    <w:p w:rsidR="00AD3EA3" w:rsidRPr="00491729" w:rsidRDefault="00AD3EA3" w:rsidP="00AD3EA3">
      <w:pPr>
        <w:jc w:val="center"/>
        <w:rPr>
          <w:b/>
        </w:rPr>
      </w:pPr>
    </w:p>
    <w:p w:rsidR="00AD3EA3" w:rsidRPr="0000629E" w:rsidRDefault="00AD3EA3" w:rsidP="00AD3EA3">
      <w:pPr>
        <w:jc w:val="center"/>
        <w:rPr>
          <w:b/>
        </w:rPr>
      </w:pPr>
      <w:r>
        <w:rPr>
          <w:b/>
        </w:rPr>
        <w:t xml:space="preserve"> </w:t>
      </w:r>
    </w:p>
    <w:p w:rsidR="00AD3EA3" w:rsidRPr="00326482" w:rsidRDefault="00AD3EA3" w:rsidP="00AD3EA3">
      <w:pPr>
        <w:rPr>
          <w:sz w:val="22"/>
          <w:szCs w:val="22"/>
        </w:rPr>
      </w:pPr>
    </w:p>
    <w:p w:rsidR="00AD3EA3" w:rsidRPr="00326482" w:rsidRDefault="00AD3EA3" w:rsidP="00AD3EA3">
      <w:pPr>
        <w:rPr>
          <w:b/>
          <w:sz w:val="22"/>
          <w:szCs w:val="22"/>
        </w:rPr>
      </w:pPr>
    </w:p>
    <w:p w:rsidR="00AD3EA3" w:rsidRPr="001F5367" w:rsidRDefault="00AD3EA3" w:rsidP="00AD3EA3">
      <w:pPr>
        <w:rPr>
          <w:b/>
          <w:sz w:val="22"/>
          <w:szCs w:val="22"/>
        </w:rPr>
      </w:pPr>
      <w:r w:rsidRPr="001F5367">
        <w:rPr>
          <w:b/>
          <w:sz w:val="22"/>
          <w:szCs w:val="22"/>
        </w:rPr>
        <w:t>Ravnatelj koji je i sazvao sjednicu  uvidom u rješenja o imenovanju i izboru verificira mandat članova.</w:t>
      </w:r>
    </w:p>
    <w:p w:rsidR="00AD3EA3" w:rsidRPr="001F5367" w:rsidRDefault="00AD3EA3" w:rsidP="00AD3EA3">
      <w:pPr>
        <w:rPr>
          <w:b/>
          <w:sz w:val="22"/>
          <w:szCs w:val="22"/>
        </w:rPr>
      </w:pPr>
      <w:r w:rsidRPr="001F5367">
        <w:rPr>
          <w:b/>
          <w:sz w:val="22"/>
          <w:szCs w:val="22"/>
        </w:rPr>
        <w:t>Pregledom personalne dokumentacije utvrđuju se nazočnost</w:t>
      </w:r>
      <w:r>
        <w:rPr>
          <w:b/>
          <w:sz w:val="22"/>
          <w:szCs w:val="22"/>
        </w:rPr>
        <w:t xml:space="preserve"> </w:t>
      </w:r>
      <w:r w:rsidRPr="001F5367">
        <w:rPr>
          <w:b/>
          <w:sz w:val="22"/>
          <w:szCs w:val="22"/>
        </w:rPr>
        <w:t xml:space="preserve"> te  podaci o članovima</w:t>
      </w:r>
    </w:p>
    <w:p w:rsidR="00AD3EA3" w:rsidRPr="00326482" w:rsidRDefault="00AD3EA3" w:rsidP="00AD3EA3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89"/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160"/>
        <w:gridCol w:w="1440"/>
        <w:gridCol w:w="2100"/>
        <w:gridCol w:w="1650"/>
        <w:gridCol w:w="1290"/>
        <w:gridCol w:w="1858"/>
      </w:tblGrid>
      <w:tr w:rsidR="00AD3EA3" w:rsidRPr="00326482" w:rsidTr="00CA5727">
        <w:tc>
          <w:tcPr>
            <w:tcW w:w="587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proofErr w:type="spellStart"/>
            <w:r w:rsidRPr="00326482">
              <w:rPr>
                <w:sz w:val="20"/>
                <w:szCs w:val="20"/>
              </w:rPr>
              <w:t>Rb</w:t>
            </w:r>
            <w:proofErr w:type="spellEnd"/>
            <w:r w:rsidRPr="00326482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IME I PREZIME</w:t>
            </w:r>
          </w:p>
        </w:tc>
        <w:tc>
          <w:tcPr>
            <w:tcW w:w="144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Izabrani / imenovani</w:t>
            </w:r>
          </w:p>
        </w:tc>
        <w:tc>
          <w:tcPr>
            <w:tcW w:w="210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zaposlen</w:t>
            </w:r>
          </w:p>
        </w:tc>
        <w:tc>
          <w:tcPr>
            <w:tcW w:w="165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zanimanje</w:t>
            </w:r>
          </w:p>
        </w:tc>
        <w:tc>
          <w:tcPr>
            <w:tcW w:w="129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 xml:space="preserve">datum </w:t>
            </w: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rođenja</w:t>
            </w:r>
          </w:p>
        </w:tc>
        <w:tc>
          <w:tcPr>
            <w:tcW w:w="1858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adresa</w:t>
            </w:r>
          </w:p>
        </w:tc>
      </w:tr>
      <w:tr w:rsidR="00AD3EA3" w:rsidRPr="00326482" w:rsidTr="00CA5727">
        <w:tc>
          <w:tcPr>
            <w:tcW w:w="587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Ivica Borić</w:t>
            </w:r>
          </w:p>
        </w:tc>
        <w:tc>
          <w:tcPr>
            <w:tcW w:w="144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proofErr w:type="spellStart"/>
            <w:r w:rsidRPr="00326482">
              <w:rPr>
                <w:sz w:val="20"/>
                <w:szCs w:val="20"/>
              </w:rPr>
              <w:t>nast.vijeće</w:t>
            </w:r>
            <w:proofErr w:type="spellEnd"/>
          </w:p>
        </w:tc>
        <w:tc>
          <w:tcPr>
            <w:tcW w:w="210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ova škola</w:t>
            </w:r>
          </w:p>
        </w:tc>
        <w:tc>
          <w:tcPr>
            <w:tcW w:w="165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proofErr w:type="spellStart"/>
            <w:r w:rsidRPr="00326482">
              <w:rPr>
                <w:sz w:val="20"/>
                <w:szCs w:val="20"/>
              </w:rPr>
              <w:t>Prof.geografije</w:t>
            </w:r>
            <w:proofErr w:type="spellEnd"/>
            <w:r w:rsidRPr="00326482">
              <w:rPr>
                <w:sz w:val="20"/>
                <w:szCs w:val="20"/>
              </w:rPr>
              <w:t xml:space="preserve"> i talijanskog jezika </w:t>
            </w:r>
          </w:p>
        </w:tc>
        <w:tc>
          <w:tcPr>
            <w:tcW w:w="129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27.08.1979..</w:t>
            </w:r>
          </w:p>
        </w:tc>
        <w:tc>
          <w:tcPr>
            <w:tcW w:w="1858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 xml:space="preserve"> Trg </w:t>
            </w:r>
            <w:proofErr w:type="spellStart"/>
            <w:r w:rsidRPr="00326482">
              <w:rPr>
                <w:sz w:val="20"/>
                <w:szCs w:val="20"/>
              </w:rPr>
              <w:t>hrv.bratske</w:t>
            </w:r>
            <w:proofErr w:type="spellEnd"/>
            <w:r w:rsidRPr="00326482">
              <w:rPr>
                <w:sz w:val="20"/>
                <w:szCs w:val="20"/>
              </w:rPr>
              <w:t xml:space="preserve"> zajednice 1</w:t>
            </w: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 xml:space="preserve"> Split</w:t>
            </w: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</w:tr>
      <w:tr w:rsidR="00AD3EA3" w:rsidRPr="00326482" w:rsidTr="00CA5727">
        <w:tc>
          <w:tcPr>
            <w:tcW w:w="587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2.</w:t>
            </w: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Gordana Blažević</w:t>
            </w:r>
          </w:p>
        </w:tc>
        <w:tc>
          <w:tcPr>
            <w:tcW w:w="144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proofErr w:type="spellStart"/>
            <w:r w:rsidRPr="00326482">
              <w:rPr>
                <w:sz w:val="20"/>
                <w:szCs w:val="20"/>
              </w:rPr>
              <w:t>nast.vijeće</w:t>
            </w:r>
            <w:proofErr w:type="spellEnd"/>
          </w:p>
        </w:tc>
        <w:tc>
          <w:tcPr>
            <w:tcW w:w="210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ova škola</w:t>
            </w:r>
          </w:p>
        </w:tc>
        <w:tc>
          <w:tcPr>
            <w:tcW w:w="165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proofErr w:type="spellStart"/>
            <w:r w:rsidRPr="00326482">
              <w:rPr>
                <w:sz w:val="20"/>
                <w:szCs w:val="20"/>
              </w:rPr>
              <w:t>prof.matematike</w:t>
            </w:r>
            <w:proofErr w:type="spellEnd"/>
            <w:r w:rsidRPr="00326482">
              <w:rPr>
                <w:sz w:val="20"/>
                <w:szCs w:val="20"/>
              </w:rPr>
              <w:t xml:space="preserve"> i fizike</w:t>
            </w:r>
          </w:p>
        </w:tc>
        <w:tc>
          <w:tcPr>
            <w:tcW w:w="129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14.08.1964.</w:t>
            </w:r>
          </w:p>
        </w:tc>
        <w:tc>
          <w:tcPr>
            <w:tcW w:w="1858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 xml:space="preserve">Donji </w:t>
            </w:r>
            <w:proofErr w:type="spellStart"/>
            <w:r w:rsidRPr="00326482">
              <w:rPr>
                <w:sz w:val="20"/>
                <w:szCs w:val="20"/>
              </w:rPr>
              <w:t>Muć</w:t>
            </w:r>
            <w:proofErr w:type="spellEnd"/>
            <w:r w:rsidRPr="00326482">
              <w:rPr>
                <w:sz w:val="20"/>
                <w:szCs w:val="20"/>
              </w:rPr>
              <w:t xml:space="preserve"> 2</w:t>
            </w: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proofErr w:type="spellStart"/>
            <w:r w:rsidRPr="00326482">
              <w:rPr>
                <w:sz w:val="20"/>
                <w:szCs w:val="20"/>
              </w:rPr>
              <w:t>Muć</w:t>
            </w:r>
            <w:proofErr w:type="spellEnd"/>
          </w:p>
        </w:tc>
      </w:tr>
      <w:tr w:rsidR="00AD3EA3" w:rsidRPr="00326482" w:rsidTr="00CA5727">
        <w:tc>
          <w:tcPr>
            <w:tcW w:w="587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3.</w:t>
            </w: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Goran Batarelo</w:t>
            </w:r>
          </w:p>
        </w:tc>
        <w:tc>
          <w:tcPr>
            <w:tcW w:w="144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predstavnik</w:t>
            </w: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zaposlenika</w:t>
            </w:r>
          </w:p>
        </w:tc>
        <w:tc>
          <w:tcPr>
            <w:tcW w:w="210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ova škola</w:t>
            </w:r>
          </w:p>
        </w:tc>
        <w:tc>
          <w:tcPr>
            <w:tcW w:w="165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proofErr w:type="spellStart"/>
            <w:r w:rsidRPr="00326482">
              <w:rPr>
                <w:sz w:val="20"/>
                <w:szCs w:val="20"/>
              </w:rPr>
              <w:t>Str.prvostupnik</w:t>
            </w:r>
            <w:proofErr w:type="spellEnd"/>
            <w:r w:rsidRPr="00326482">
              <w:rPr>
                <w:sz w:val="20"/>
                <w:szCs w:val="20"/>
              </w:rPr>
              <w:t xml:space="preserve"> ekonomije i kuhar </w:t>
            </w:r>
            <w:proofErr w:type="spellStart"/>
            <w:r w:rsidRPr="00326482">
              <w:rPr>
                <w:sz w:val="20"/>
                <w:szCs w:val="20"/>
              </w:rPr>
              <w:t>specij</w:t>
            </w:r>
            <w:proofErr w:type="spellEnd"/>
            <w:r w:rsidRPr="00326482">
              <w:rPr>
                <w:sz w:val="20"/>
                <w:szCs w:val="20"/>
              </w:rPr>
              <w:t>.</w:t>
            </w:r>
          </w:p>
        </w:tc>
        <w:tc>
          <w:tcPr>
            <w:tcW w:w="129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17.06.1980.</w:t>
            </w:r>
          </w:p>
        </w:tc>
        <w:tc>
          <w:tcPr>
            <w:tcW w:w="1858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proofErr w:type="spellStart"/>
            <w:r w:rsidRPr="00326482">
              <w:rPr>
                <w:sz w:val="20"/>
                <w:szCs w:val="20"/>
              </w:rPr>
              <w:t>Lučane</w:t>
            </w:r>
            <w:proofErr w:type="spellEnd"/>
            <w:r w:rsidRPr="00326482">
              <w:rPr>
                <w:sz w:val="20"/>
                <w:szCs w:val="20"/>
              </w:rPr>
              <w:t xml:space="preserve"> 99</w:t>
            </w: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Sinj</w:t>
            </w:r>
          </w:p>
        </w:tc>
      </w:tr>
      <w:tr w:rsidR="00AD3EA3" w:rsidRPr="00326482" w:rsidTr="00CA5727">
        <w:tc>
          <w:tcPr>
            <w:tcW w:w="587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 xml:space="preserve">Miro </w:t>
            </w:r>
            <w:proofErr w:type="spellStart"/>
            <w:r w:rsidRPr="00326482">
              <w:rPr>
                <w:sz w:val="20"/>
                <w:szCs w:val="20"/>
              </w:rPr>
              <w:t>Bulj</w:t>
            </w:r>
            <w:proofErr w:type="spellEnd"/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predstavnik roditelja</w:t>
            </w:r>
          </w:p>
        </w:tc>
        <w:tc>
          <w:tcPr>
            <w:tcW w:w="210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Umirovljeni časnik HV-a</w:t>
            </w:r>
          </w:p>
        </w:tc>
        <w:tc>
          <w:tcPr>
            <w:tcW w:w="165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Upravni pravnik</w:t>
            </w:r>
          </w:p>
        </w:tc>
        <w:tc>
          <w:tcPr>
            <w:tcW w:w="129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11.03.1972.</w:t>
            </w:r>
          </w:p>
        </w:tc>
        <w:tc>
          <w:tcPr>
            <w:tcW w:w="1858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proofErr w:type="spellStart"/>
            <w:r w:rsidRPr="00326482">
              <w:rPr>
                <w:sz w:val="20"/>
                <w:szCs w:val="20"/>
              </w:rPr>
              <w:t>Suhač</w:t>
            </w:r>
            <w:proofErr w:type="spellEnd"/>
            <w:r w:rsidRPr="00326482">
              <w:rPr>
                <w:sz w:val="20"/>
                <w:szCs w:val="20"/>
              </w:rPr>
              <w:t xml:space="preserve"> 55</w:t>
            </w: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21230 Sinj</w:t>
            </w:r>
          </w:p>
        </w:tc>
      </w:tr>
      <w:tr w:rsidR="00AD3EA3" w:rsidRPr="00326482" w:rsidTr="00CA5727">
        <w:tc>
          <w:tcPr>
            <w:tcW w:w="587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osnivač</w:t>
            </w:r>
          </w:p>
        </w:tc>
        <w:tc>
          <w:tcPr>
            <w:tcW w:w="210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shd w:val="clear" w:color="auto" w:fill="auto"/>
          </w:tcPr>
          <w:p w:rsidR="00AD3EA3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Nisu imenovani</w:t>
            </w:r>
            <w:bookmarkStart w:id="0" w:name="_GoBack"/>
            <w:bookmarkEnd w:id="0"/>
          </w:p>
        </w:tc>
      </w:tr>
      <w:tr w:rsidR="00AD3EA3" w:rsidRPr="00326482" w:rsidTr="00CA5727">
        <w:tc>
          <w:tcPr>
            <w:tcW w:w="587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6.</w:t>
            </w:r>
          </w:p>
        </w:tc>
        <w:tc>
          <w:tcPr>
            <w:tcW w:w="216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osnivač</w:t>
            </w:r>
          </w:p>
        </w:tc>
        <w:tc>
          <w:tcPr>
            <w:tcW w:w="210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</w:tr>
      <w:tr w:rsidR="00AD3EA3" w:rsidRPr="00326482" w:rsidTr="00CA5727">
        <w:tc>
          <w:tcPr>
            <w:tcW w:w="587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7.</w:t>
            </w:r>
          </w:p>
        </w:tc>
        <w:tc>
          <w:tcPr>
            <w:tcW w:w="216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  <w:r w:rsidRPr="00326482">
              <w:rPr>
                <w:sz w:val="20"/>
                <w:szCs w:val="20"/>
              </w:rPr>
              <w:t>osnivač</w:t>
            </w:r>
          </w:p>
        </w:tc>
        <w:tc>
          <w:tcPr>
            <w:tcW w:w="210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AD3EA3" w:rsidRPr="00326482" w:rsidRDefault="00AD3EA3" w:rsidP="00CA57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3EA3" w:rsidRPr="00326482" w:rsidRDefault="00AD3EA3" w:rsidP="00AD3EA3">
      <w:pPr>
        <w:rPr>
          <w:sz w:val="22"/>
          <w:szCs w:val="22"/>
        </w:rPr>
      </w:pPr>
    </w:p>
    <w:p w:rsidR="00AD3EA3" w:rsidRPr="00326482" w:rsidRDefault="00AD3EA3" w:rsidP="00AD3EA3">
      <w:pPr>
        <w:rPr>
          <w:sz w:val="22"/>
          <w:szCs w:val="22"/>
        </w:rPr>
      </w:pPr>
    </w:p>
    <w:p w:rsidR="00AD3EA3" w:rsidRPr="00326482" w:rsidRDefault="00AD3EA3" w:rsidP="00AD3EA3">
      <w:pPr>
        <w:rPr>
          <w:sz w:val="22"/>
          <w:szCs w:val="22"/>
        </w:rPr>
      </w:pPr>
      <w:r w:rsidRPr="00326482">
        <w:rPr>
          <w:sz w:val="22"/>
          <w:szCs w:val="22"/>
        </w:rPr>
        <w:t>Osim imenovanih</w:t>
      </w:r>
      <w:r>
        <w:rPr>
          <w:sz w:val="22"/>
          <w:szCs w:val="22"/>
        </w:rPr>
        <w:t xml:space="preserve"> članova i ravnatelja </w:t>
      </w:r>
      <w:r w:rsidRPr="00326482">
        <w:rPr>
          <w:sz w:val="22"/>
          <w:szCs w:val="22"/>
        </w:rPr>
        <w:t xml:space="preserve"> sjedn</w:t>
      </w:r>
      <w:r>
        <w:rPr>
          <w:sz w:val="22"/>
          <w:szCs w:val="22"/>
        </w:rPr>
        <w:t xml:space="preserve">ici je nazočna tajnica škole </w:t>
      </w:r>
      <w:proofErr w:type="spellStart"/>
      <w:r w:rsidRPr="00326482">
        <w:rPr>
          <w:sz w:val="22"/>
          <w:szCs w:val="22"/>
        </w:rPr>
        <w:t>Milidina</w:t>
      </w:r>
      <w:proofErr w:type="spellEnd"/>
      <w:r w:rsidRPr="00326482">
        <w:rPr>
          <w:sz w:val="22"/>
          <w:szCs w:val="22"/>
        </w:rPr>
        <w:t xml:space="preserve"> </w:t>
      </w:r>
      <w:proofErr w:type="spellStart"/>
      <w:r w:rsidRPr="00326482">
        <w:rPr>
          <w:sz w:val="22"/>
          <w:szCs w:val="22"/>
        </w:rPr>
        <w:t>Mić</w:t>
      </w:r>
      <w:proofErr w:type="spellEnd"/>
      <w:r w:rsidRPr="00326482">
        <w:rPr>
          <w:sz w:val="22"/>
          <w:szCs w:val="22"/>
        </w:rPr>
        <w:t xml:space="preserve">   </w:t>
      </w:r>
      <w:r>
        <w:rPr>
          <w:sz w:val="22"/>
          <w:szCs w:val="22"/>
        </w:rPr>
        <w:t>.</w:t>
      </w:r>
    </w:p>
    <w:p w:rsidR="00AD3EA3" w:rsidRPr="00326482" w:rsidRDefault="00AD3EA3" w:rsidP="00AD3EA3">
      <w:pPr>
        <w:pStyle w:val="Bezproreda"/>
      </w:pPr>
    </w:p>
    <w:p w:rsidR="00AD3EA3" w:rsidRDefault="00AD3EA3" w:rsidP="00AD3EA3">
      <w:pPr>
        <w:pStyle w:val="Bezproreda"/>
      </w:pPr>
      <w:r w:rsidRPr="00326482">
        <w:t>Konstatira se kako Osniv</w:t>
      </w:r>
      <w:r>
        <w:t xml:space="preserve">ač nije imenovao tri </w:t>
      </w:r>
      <w:proofErr w:type="spellStart"/>
      <w:r>
        <w:t>prestavnike</w:t>
      </w:r>
      <w:proofErr w:type="spellEnd"/>
      <w:r>
        <w:t xml:space="preserve"> </w:t>
      </w:r>
      <w:r w:rsidRPr="00326482">
        <w:t xml:space="preserve"> iz svojih redova te da Miro </w:t>
      </w:r>
      <w:proofErr w:type="spellStart"/>
      <w:r w:rsidRPr="00326482">
        <w:t>Bulj</w:t>
      </w:r>
      <w:proofErr w:type="spellEnd"/>
      <w:r w:rsidRPr="00326482">
        <w:t xml:space="preserve"> kao </w:t>
      </w:r>
      <w:proofErr w:type="spellStart"/>
      <w:r w:rsidRPr="00326482">
        <w:t>prestavnik</w:t>
      </w:r>
      <w:proofErr w:type="spellEnd"/>
      <w:r w:rsidRPr="00326482">
        <w:t xml:space="preserve"> roditelja ima pravo obnašati poslove člana Školskog odbora do  kraja rujna 2017. god. jer  je njegovo dijete sa šk.2016/2017. završilo školovanje u ovoj Školi.</w:t>
      </w:r>
    </w:p>
    <w:p w:rsidR="00AD3EA3" w:rsidRPr="00326482" w:rsidRDefault="00AD3EA3" w:rsidP="00AD3EA3">
      <w:pPr>
        <w:pStyle w:val="Bezproreda"/>
      </w:pPr>
      <w:proofErr w:type="spellStart"/>
      <w:r w:rsidRPr="00326482">
        <w:t>Prestavnika</w:t>
      </w:r>
      <w:proofErr w:type="spellEnd"/>
      <w:r w:rsidRPr="00326482">
        <w:t xml:space="preserve"> Vijeća roditelja  izabrat će se </w:t>
      </w:r>
      <w:proofErr w:type="spellStart"/>
      <w:r w:rsidRPr="00326482">
        <w:t>poćetkom</w:t>
      </w:r>
      <w:proofErr w:type="spellEnd"/>
      <w:r w:rsidRPr="00326482">
        <w:t xml:space="preserve"> šk.2017/2018. god. kad se oforme prvi razredi školske 2017/2018  koji biraju predstavnike u Vijeće roditelja a na sjednici  Vijeća roditelja bira se predstavnik roditelja  u Školski odbor.</w:t>
      </w:r>
    </w:p>
    <w:p w:rsidR="00AD3EA3" w:rsidRPr="00326482" w:rsidRDefault="00AD3EA3" w:rsidP="00AD3EA3">
      <w:pPr>
        <w:pStyle w:val="Bezproreda"/>
      </w:pPr>
      <w:r w:rsidRPr="00326482">
        <w:t xml:space="preserve">Nazočno tri člana Školskog odbora iz reda škole te Miro </w:t>
      </w:r>
      <w:proofErr w:type="spellStart"/>
      <w:r w:rsidRPr="00326482">
        <w:t>Bulj</w:t>
      </w:r>
      <w:proofErr w:type="spellEnd"/>
      <w:r w:rsidRPr="00326482">
        <w:t xml:space="preserve"> putem telefona  jer je kao saborski zastupnik u Zagrebu na sjednici.</w:t>
      </w:r>
    </w:p>
    <w:p w:rsidR="00AD3EA3" w:rsidRPr="00326482" w:rsidRDefault="00AD3EA3" w:rsidP="00AD3EA3">
      <w:pPr>
        <w:pStyle w:val="Bezproreda"/>
      </w:pPr>
      <w:r w:rsidRPr="00326482">
        <w:t xml:space="preserve"> </w:t>
      </w:r>
    </w:p>
    <w:p w:rsidR="00AD3EA3" w:rsidRPr="0000629E" w:rsidRDefault="00AD3EA3" w:rsidP="00AD3EA3">
      <w:pPr>
        <w:pStyle w:val="Bezproreda"/>
        <w:jc w:val="right"/>
        <w:rPr>
          <w:vertAlign w:val="superscript"/>
        </w:rPr>
      </w:pPr>
      <w:r>
        <w:rPr>
          <w:vertAlign w:val="superscript"/>
        </w:rPr>
        <w:t>2.</w:t>
      </w:r>
    </w:p>
    <w:p w:rsidR="00AD3EA3" w:rsidRPr="00326482" w:rsidRDefault="00AD3EA3" w:rsidP="00AD3EA3">
      <w:pPr>
        <w:pStyle w:val="Bezproreda"/>
      </w:pPr>
      <w:r w:rsidRPr="00326482">
        <w:lastRenderedPageBreak/>
        <w:t>Uvidom u dokumentaciju  utvrđuje se ka</w:t>
      </w:r>
      <w:r>
        <w:t>k</w:t>
      </w:r>
      <w:r w:rsidRPr="00326482">
        <w:t xml:space="preserve">o  je najstariji član Školskog odbora  </w:t>
      </w:r>
      <w:proofErr w:type="spellStart"/>
      <w:r w:rsidRPr="00326482">
        <w:t>gđa.Gordana</w:t>
      </w:r>
      <w:proofErr w:type="spellEnd"/>
      <w:r w:rsidRPr="00326482">
        <w:t xml:space="preserve"> Blažević</w:t>
      </w:r>
      <w:r>
        <w:t xml:space="preserve"> </w:t>
      </w:r>
      <w:r w:rsidRPr="00326482">
        <w:t xml:space="preserve"> koja  preuzima presjedanje ovoj sjednici   te  utvrđuje da se  odluke mogu donositi pravovaljano .</w:t>
      </w:r>
    </w:p>
    <w:p w:rsidR="00AD3EA3" w:rsidRPr="00326482" w:rsidRDefault="00AD3EA3" w:rsidP="00AD3EA3">
      <w:pPr>
        <w:pStyle w:val="Bezproreda"/>
      </w:pPr>
    </w:p>
    <w:p w:rsidR="00AD3EA3" w:rsidRPr="0000629E" w:rsidRDefault="00AD3EA3" w:rsidP="00AD3EA3">
      <w:pPr>
        <w:pStyle w:val="Bezproreda"/>
        <w:rPr>
          <w:b/>
          <w:sz w:val="22"/>
          <w:szCs w:val="22"/>
        </w:rPr>
      </w:pPr>
      <w:r w:rsidRPr="0000629E">
        <w:rPr>
          <w:b/>
          <w:sz w:val="22"/>
          <w:szCs w:val="22"/>
        </w:rPr>
        <w:t xml:space="preserve"> Utvrđuje se dnevni </w:t>
      </w:r>
      <w:r>
        <w:rPr>
          <w:b/>
          <w:sz w:val="22"/>
          <w:szCs w:val="22"/>
        </w:rPr>
        <w:t xml:space="preserve"> </w:t>
      </w:r>
      <w:r w:rsidRPr="0000629E">
        <w:rPr>
          <w:b/>
          <w:sz w:val="22"/>
          <w:szCs w:val="22"/>
        </w:rPr>
        <w:t>red  po pozivu:</w:t>
      </w:r>
    </w:p>
    <w:p w:rsidR="00AD3EA3" w:rsidRPr="00326482" w:rsidRDefault="00AD3EA3" w:rsidP="00AD3EA3">
      <w:r w:rsidRPr="00326482">
        <w:t>1.Verifikacija mandata članova  / uvidom  u  rješenja /</w:t>
      </w:r>
    </w:p>
    <w:p w:rsidR="00AD3EA3" w:rsidRPr="00326482" w:rsidRDefault="00AD3EA3" w:rsidP="00AD3EA3">
      <w:r w:rsidRPr="00326482">
        <w:t xml:space="preserve">2.Izbor  nastavnika po natječaju  za stručne predmete Poslovne  komunikacije,Poznavanje  </w:t>
      </w:r>
    </w:p>
    <w:p w:rsidR="00AD3EA3" w:rsidRPr="00326482" w:rsidRDefault="00AD3EA3" w:rsidP="00AD3EA3">
      <w:r w:rsidRPr="00326482">
        <w:t xml:space="preserve">    rode i Globalno poslovno </w:t>
      </w:r>
      <w:proofErr w:type="spellStart"/>
      <w:r w:rsidRPr="00326482">
        <w:t>okruženj</w:t>
      </w:r>
      <w:proofErr w:type="spellEnd"/>
      <w:r w:rsidRPr="00326482">
        <w:t xml:space="preserve">……određeno vrijeme -zamjena za </w:t>
      </w:r>
      <w:proofErr w:type="spellStart"/>
      <w:r w:rsidRPr="00326482">
        <w:t>rodiljni</w:t>
      </w:r>
      <w:proofErr w:type="spellEnd"/>
      <w:r w:rsidRPr="00326482">
        <w:t xml:space="preserve">  dopust Ines  </w:t>
      </w:r>
    </w:p>
    <w:p w:rsidR="00AD3EA3" w:rsidRPr="00326482" w:rsidRDefault="00AD3EA3" w:rsidP="00AD3EA3">
      <w:r w:rsidRPr="00326482">
        <w:t xml:space="preserve">    Stipanović   </w:t>
      </w:r>
    </w:p>
    <w:p w:rsidR="00AD3EA3" w:rsidRPr="00326482" w:rsidRDefault="00AD3EA3" w:rsidP="00AD3EA3">
      <w:r w:rsidRPr="00326482">
        <w:t>3.Razno</w:t>
      </w:r>
    </w:p>
    <w:p w:rsidR="00AD3EA3" w:rsidRPr="00326482" w:rsidRDefault="00AD3EA3" w:rsidP="00AD3EA3">
      <w:r w:rsidRPr="00326482">
        <w:t xml:space="preserve">    *Upoznavanje sa Statutom Škole i zakonskim propisima u svezi školstva</w:t>
      </w:r>
    </w:p>
    <w:p w:rsidR="00AD3EA3" w:rsidRPr="00326482" w:rsidRDefault="00AD3EA3" w:rsidP="00AD3EA3">
      <w:r w:rsidRPr="00326482">
        <w:t xml:space="preserve">    *Upoznavanje Poslovnika o radu Školskog odbora.</w:t>
      </w:r>
    </w:p>
    <w:p w:rsidR="00AD3EA3" w:rsidRPr="0000629E" w:rsidRDefault="00AD3EA3" w:rsidP="00AD3EA3">
      <w:r w:rsidRPr="00326482">
        <w:t xml:space="preserve">   </w:t>
      </w:r>
    </w:p>
    <w:p w:rsidR="00AD3EA3" w:rsidRPr="00326482" w:rsidRDefault="00AD3EA3" w:rsidP="00AD3EA3">
      <w:pPr>
        <w:pStyle w:val="Bezproreda"/>
      </w:pPr>
      <w:r w:rsidRPr="000A1137">
        <w:rPr>
          <w:b/>
        </w:rPr>
        <w:t>AD.1.</w:t>
      </w:r>
      <w:r w:rsidRPr="00326482">
        <w:t xml:space="preserve">  Izvršena verifikacija mandata nazočnih članova  te će se izbor </w:t>
      </w:r>
      <w:r w:rsidRPr="00326482">
        <w:rPr>
          <w:b/>
        </w:rPr>
        <w:t>pred</w:t>
      </w:r>
      <w:r>
        <w:t xml:space="preserve">sjednika,zamjenika predsjednika i </w:t>
      </w:r>
      <w:r w:rsidRPr="00326482">
        <w:t xml:space="preserve"> zapisničara Školskog odbora odgoditi </w:t>
      </w:r>
      <w:r>
        <w:t xml:space="preserve">. </w:t>
      </w:r>
    </w:p>
    <w:p w:rsidR="00AD3EA3" w:rsidRPr="00326482" w:rsidRDefault="00AD3EA3" w:rsidP="00AD3EA3">
      <w:pPr>
        <w:pStyle w:val="Bezproreda"/>
      </w:pPr>
    </w:p>
    <w:p w:rsidR="00AD3EA3" w:rsidRDefault="00AD3EA3" w:rsidP="00AD3EA3">
      <w:r w:rsidRPr="00863F66">
        <w:rPr>
          <w:b/>
        </w:rPr>
        <w:t>AD.2.</w:t>
      </w:r>
      <w:r>
        <w:t>Utvrđuje se kako je pravovaljano raspisan   natječaj za radno mjesto prof.</w:t>
      </w:r>
      <w:r w:rsidRPr="00904D07">
        <w:t xml:space="preserve"> </w:t>
      </w:r>
      <w:r>
        <w:t>stručnih predmete Poslovne  komunikacije,Poznavanje  rode i Globalno</w:t>
      </w:r>
      <w:r w:rsidRPr="00F54656">
        <w:t xml:space="preserve"> </w:t>
      </w:r>
      <w:r>
        <w:t xml:space="preserve">poslovno </w:t>
      </w:r>
      <w:proofErr w:type="spellStart"/>
      <w:r>
        <w:t>okruženj</w:t>
      </w:r>
      <w:proofErr w:type="spellEnd"/>
    </w:p>
    <w:p w:rsidR="00AD3EA3" w:rsidRDefault="00AD3EA3" w:rsidP="00AD3EA3">
      <w:r>
        <w:t xml:space="preserve">    ……određeno vrijeme -zamjena za </w:t>
      </w:r>
      <w:proofErr w:type="spellStart"/>
      <w:r>
        <w:t>rodiljni</w:t>
      </w:r>
      <w:proofErr w:type="spellEnd"/>
      <w:r>
        <w:t xml:space="preserve">  dopust Ines    Stipanović    </w:t>
      </w:r>
    </w:p>
    <w:p w:rsidR="00AD3EA3" w:rsidRDefault="00AD3EA3" w:rsidP="00AD3EA3">
      <w:pPr>
        <w:pStyle w:val="Bezproreda"/>
      </w:pPr>
    </w:p>
    <w:p w:rsidR="00AD3EA3" w:rsidRDefault="00AD3EA3" w:rsidP="00AD3EA3">
      <w:pPr>
        <w:pStyle w:val="Bezproreda"/>
      </w:pPr>
      <w:r w:rsidRPr="00326482">
        <w:t>Svi članovi su kroz poziv dobili</w:t>
      </w:r>
      <w:r>
        <w:t xml:space="preserve"> </w:t>
      </w:r>
      <w:r w:rsidRPr="00326482">
        <w:t xml:space="preserve"> popis </w:t>
      </w:r>
      <w:r>
        <w:t xml:space="preserve"> </w:t>
      </w:r>
      <w:r w:rsidRPr="00326482">
        <w:t>prijavljenih kandidata</w:t>
      </w:r>
      <w:r>
        <w:t xml:space="preserve"> </w:t>
      </w:r>
    </w:p>
    <w:p w:rsidR="00AD3EA3" w:rsidRDefault="00AD3EA3" w:rsidP="00AD3EA3">
      <w:pPr>
        <w:pStyle w:val="Bezproreda"/>
      </w:pPr>
      <w:r>
        <w:t>Pregledava se  tabela  koja je sastavni dio ovog zapisnika.</w:t>
      </w:r>
    </w:p>
    <w:p w:rsidR="00AD3EA3" w:rsidRDefault="00AD3EA3" w:rsidP="00AD3EA3">
      <w:pPr>
        <w:pStyle w:val="Bezproreda"/>
      </w:pPr>
      <w:r>
        <w:t xml:space="preserve">Prijavljeno 5 (pet) kandidata od čega Anđela </w:t>
      </w:r>
      <w:proofErr w:type="spellStart"/>
      <w:r>
        <w:t>Pletikosić</w:t>
      </w:r>
      <w:proofErr w:type="spellEnd"/>
      <w:r>
        <w:t xml:space="preserve"> dostavlja   samo zamolbu  bez</w:t>
      </w:r>
    </w:p>
    <w:p w:rsidR="00AD3EA3" w:rsidRDefault="00AD3EA3" w:rsidP="00AD3EA3">
      <w:pPr>
        <w:pStyle w:val="Bezproreda"/>
      </w:pPr>
      <w:r>
        <w:t>dokumenata ostali dokumenti su pravovaljani.</w:t>
      </w:r>
    </w:p>
    <w:p w:rsidR="00AD3EA3" w:rsidRDefault="00AD3EA3" w:rsidP="00AD3EA3">
      <w:pPr>
        <w:pStyle w:val="Bezproreda"/>
      </w:pPr>
      <w:r>
        <w:t xml:space="preserve">Prijedlog ravnatelja je  Jelena </w:t>
      </w:r>
      <w:proofErr w:type="spellStart"/>
      <w:r>
        <w:t>Vučemilo</w:t>
      </w:r>
      <w:proofErr w:type="spellEnd"/>
      <w:r>
        <w:t>,magistra ekonomije sa položenim DPPS-om iz Sinja.</w:t>
      </w:r>
    </w:p>
    <w:p w:rsidR="00AD3EA3" w:rsidRDefault="00AD3EA3" w:rsidP="00AD3EA3">
      <w:pPr>
        <w:pStyle w:val="Bezproreda"/>
      </w:pPr>
    </w:p>
    <w:p w:rsidR="00AD3EA3" w:rsidRPr="000A1137" w:rsidRDefault="00AD3EA3" w:rsidP="00AD3EA3">
      <w:pPr>
        <w:rPr>
          <w:b/>
          <w:sz w:val="22"/>
          <w:szCs w:val="22"/>
        </w:rPr>
      </w:pPr>
      <w:r w:rsidRPr="000A1137">
        <w:rPr>
          <w:b/>
          <w:sz w:val="22"/>
          <w:szCs w:val="22"/>
        </w:rPr>
        <w:t>*Jednoglasno se prihvaća prijedlog ravnatelja da se do povratka Ines Stipanović za radno mjesto profesora stručnih predmeta: Poslovne  komunikacije,Poznavanje  robe i Globalno</w:t>
      </w:r>
    </w:p>
    <w:p w:rsidR="00AD3EA3" w:rsidRPr="000A1137" w:rsidRDefault="00AD3EA3" w:rsidP="00AD3EA3">
      <w:pPr>
        <w:rPr>
          <w:b/>
          <w:sz w:val="22"/>
          <w:szCs w:val="22"/>
        </w:rPr>
      </w:pPr>
      <w:r w:rsidRPr="000A1137">
        <w:rPr>
          <w:b/>
          <w:sz w:val="22"/>
          <w:szCs w:val="22"/>
        </w:rPr>
        <w:t xml:space="preserve">poslovno okruženje   prima Jelena </w:t>
      </w:r>
      <w:proofErr w:type="spellStart"/>
      <w:r w:rsidRPr="000A1137">
        <w:rPr>
          <w:b/>
          <w:sz w:val="22"/>
          <w:szCs w:val="22"/>
        </w:rPr>
        <w:t>Vučemilo</w:t>
      </w:r>
      <w:proofErr w:type="spellEnd"/>
      <w:r w:rsidRPr="000A1137">
        <w:rPr>
          <w:b/>
          <w:sz w:val="22"/>
          <w:szCs w:val="22"/>
        </w:rPr>
        <w:t>,magistra ekonomije sa položenim DPPS-om iz Sinja.</w:t>
      </w:r>
    </w:p>
    <w:p w:rsidR="00AD3EA3" w:rsidRDefault="00AD3EA3" w:rsidP="00AD3EA3"/>
    <w:p w:rsidR="00AD3EA3" w:rsidRDefault="00AD3EA3" w:rsidP="00AD3EA3">
      <w:r w:rsidRPr="00863F66">
        <w:rPr>
          <w:b/>
        </w:rPr>
        <w:t>AD.3.</w:t>
      </w:r>
      <w:r>
        <w:t xml:space="preserve"> *Članovi Školskog odbora otvaraju konstruktivni razgovor o planiranju  poslova ovog saziva Školskog odbora ističući da škola može sudjelovati u raznim projektima  koji  se u zadnje vrijeme provode u mnogim školama.</w:t>
      </w:r>
    </w:p>
    <w:p w:rsidR="00AD3EA3" w:rsidRDefault="00AD3EA3" w:rsidP="00AD3EA3">
      <w:r>
        <w:t xml:space="preserve">Ravnatelj se slaže sa planiranim i smatra da aktivi u školi razmotre i pokrenu prijedloge za te projekte  uz angažiranost članova a škola će uvijek podržati sve što doprinosi </w:t>
      </w:r>
      <w:proofErr w:type="spellStart"/>
      <w:r>
        <w:t>napredku</w:t>
      </w:r>
      <w:proofErr w:type="spellEnd"/>
      <w:r>
        <w:t xml:space="preserve"> i razvoju obrazovanja i naših učenika i nastavnika.</w:t>
      </w:r>
    </w:p>
    <w:p w:rsidR="00AD3EA3" w:rsidRDefault="00AD3EA3" w:rsidP="00AD3EA3">
      <w:r>
        <w:t xml:space="preserve">*Tajnica predlaže da se na sljedećoj sjednici  za koju  se nada da će biti u punom sazivu </w:t>
      </w:r>
    </w:p>
    <w:p w:rsidR="00AD3EA3" w:rsidRDefault="00AD3EA3" w:rsidP="00AD3EA3">
      <w:r>
        <w:t>upoznaje s   Statutom  škole kao osnovnim  aktom  te ostalim  zakonskim  propisima važnim za nesmetani rad Školskog odbora .</w:t>
      </w:r>
    </w:p>
    <w:p w:rsidR="00AD3EA3" w:rsidRDefault="00AD3EA3" w:rsidP="00AD3EA3"/>
    <w:p w:rsidR="00AD3EA3" w:rsidRPr="00F54656" w:rsidRDefault="00AD3EA3" w:rsidP="00AD3EA3">
      <w:pPr>
        <w:pStyle w:val="Bezproreda"/>
        <w:rPr>
          <w:color w:val="FF0000"/>
        </w:rPr>
      </w:pPr>
    </w:p>
    <w:p w:rsidR="00AD3EA3" w:rsidRPr="0000629E" w:rsidRDefault="00AD3EA3" w:rsidP="00AD3EA3">
      <w:pPr>
        <w:pStyle w:val="Bezproreda"/>
      </w:pPr>
    </w:p>
    <w:p w:rsidR="00AD3EA3" w:rsidRPr="00863F66" w:rsidRDefault="00AD3EA3" w:rsidP="00AD3EA3">
      <w:pPr>
        <w:pStyle w:val="Bezproreda"/>
        <w:rPr>
          <w:b/>
        </w:rPr>
      </w:pPr>
      <w:r w:rsidRPr="00863F66">
        <w:rPr>
          <w:b/>
        </w:rPr>
        <w:t>Sjednica zaključena!</w:t>
      </w:r>
    </w:p>
    <w:p w:rsidR="00AD3EA3" w:rsidRPr="0000629E" w:rsidRDefault="00AD3EA3" w:rsidP="00AD3EA3">
      <w:pPr>
        <w:pStyle w:val="Bezproreda"/>
      </w:pPr>
      <w:r w:rsidRPr="0000629E">
        <w:t xml:space="preserve">                                                                                </w:t>
      </w:r>
    </w:p>
    <w:p w:rsidR="00AD3EA3" w:rsidRPr="00863F66" w:rsidRDefault="00AD3EA3" w:rsidP="00AD3EA3">
      <w:pPr>
        <w:pStyle w:val="Bezproreda"/>
        <w:rPr>
          <w:b/>
        </w:rPr>
      </w:pPr>
      <w:r w:rsidRPr="0000629E">
        <w:t xml:space="preserve">                                                                               </w:t>
      </w:r>
      <w:r>
        <w:t xml:space="preserve">         </w:t>
      </w:r>
      <w:r w:rsidRPr="0000629E">
        <w:t xml:space="preserve">  </w:t>
      </w:r>
      <w:proofErr w:type="spellStart"/>
      <w:r w:rsidRPr="00863F66">
        <w:rPr>
          <w:b/>
        </w:rPr>
        <w:t>Presjedavatelj</w:t>
      </w:r>
      <w:proofErr w:type="spellEnd"/>
      <w:r w:rsidRPr="00863F66">
        <w:rPr>
          <w:b/>
        </w:rPr>
        <w:t>;</w:t>
      </w:r>
    </w:p>
    <w:p w:rsidR="00AD3EA3" w:rsidRPr="0000629E" w:rsidRDefault="00AD3EA3" w:rsidP="00AD3EA3">
      <w:pPr>
        <w:pStyle w:val="Bezproreda"/>
      </w:pPr>
      <w:r w:rsidRPr="0000629E">
        <w:t xml:space="preserve">                                                                       </w:t>
      </w:r>
      <w:r>
        <w:t xml:space="preserve">         </w:t>
      </w:r>
      <w:r w:rsidRPr="0000629E">
        <w:t xml:space="preserve">  Gordana Blažević,prof.</w:t>
      </w:r>
    </w:p>
    <w:p w:rsidR="00AD3EA3" w:rsidRPr="0000629E" w:rsidRDefault="00AD3EA3" w:rsidP="00AD3EA3">
      <w:pPr>
        <w:pStyle w:val="Bezproreda"/>
      </w:pPr>
    </w:p>
    <w:p w:rsidR="00AD3EA3" w:rsidRPr="00863F66" w:rsidRDefault="00AD3EA3" w:rsidP="00AD3EA3">
      <w:pPr>
        <w:pStyle w:val="Bezproreda"/>
        <w:rPr>
          <w:b/>
        </w:rPr>
      </w:pPr>
      <w:r w:rsidRPr="00863F66">
        <w:rPr>
          <w:b/>
        </w:rPr>
        <w:t xml:space="preserve">                                                                              </w:t>
      </w:r>
      <w:proofErr w:type="spellStart"/>
      <w:r w:rsidRPr="00863F66">
        <w:rPr>
          <w:b/>
        </w:rPr>
        <w:t>Zapišničar</w:t>
      </w:r>
      <w:proofErr w:type="spellEnd"/>
      <w:r w:rsidRPr="00863F66">
        <w:rPr>
          <w:b/>
        </w:rPr>
        <w:t xml:space="preserve"> </w:t>
      </w:r>
      <w:proofErr w:type="spellStart"/>
      <w:r w:rsidRPr="00863F66">
        <w:rPr>
          <w:b/>
        </w:rPr>
        <w:t>konstituirajuće</w:t>
      </w:r>
      <w:proofErr w:type="spellEnd"/>
      <w:r w:rsidRPr="00863F66">
        <w:rPr>
          <w:b/>
        </w:rPr>
        <w:t xml:space="preserve"> sjednice:</w:t>
      </w:r>
    </w:p>
    <w:p w:rsidR="00AD3EA3" w:rsidRPr="0000629E" w:rsidRDefault="00AD3EA3" w:rsidP="00AD3EA3">
      <w:pPr>
        <w:pStyle w:val="Bezproreda"/>
        <w:sectPr w:rsidR="00AD3EA3" w:rsidRPr="0000629E" w:rsidSect="006A47B0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  <w:r w:rsidRPr="0000629E">
        <w:t xml:space="preserve">                                                                                        </w:t>
      </w:r>
      <w:proofErr w:type="spellStart"/>
      <w:r w:rsidRPr="0000629E">
        <w:t>Milidina</w:t>
      </w:r>
      <w:proofErr w:type="spellEnd"/>
      <w:r w:rsidRPr="0000629E">
        <w:t xml:space="preserve"> </w:t>
      </w:r>
      <w:proofErr w:type="spellStart"/>
      <w:r w:rsidRPr="0000629E">
        <w:t>Mić</w:t>
      </w:r>
      <w:proofErr w:type="spellEnd"/>
      <w:r w:rsidRPr="0000629E">
        <w:t>,tajnik</w:t>
      </w:r>
    </w:p>
    <w:p w:rsidR="00454833" w:rsidRDefault="00454833"/>
    <w:sectPr w:rsidR="00454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A3"/>
    <w:rsid w:val="00454833"/>
    <w:rsid w:val="00A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3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3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1</cp:revision>
  <dcterms:created xsi:type="dcterms:W3CDTF">2017-10-10T09:11:00Z</dcterms:created>
  <dcterms:modified xsi:type="dcterms:W3CDTF">2017-10-10T09:12:00Z</dcterms:modified>
</cp:coreProperties>
</file>