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74FB2" w14:paraId="3A2D7D9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E01BDE" w14:textId="77777777" w:rsidR="00A74FB2" w:rsidRDefault="0005028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099DFDA" w14:textId="77777777" w:rsidR="00A74FB2" w:rsidRDefault="0005028C">
            <w:pPr>
              <w:spacing w:after="0" w:line="240" w:lineRule="auto"/>
            </w:pPr>
            <w:r>
              <w:t>18207</w:t>
            </w:r>
          </w:p>
        </w:tc>
      </w:tr>
      <w:tr w:rsidR="00A74FB2" w14:paraId="4C535FB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E3904EA" w14:textId="77777777" w:rsidR="00A74FB2" w:rsidRDefault="0005028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C7E8223" w14:textId="77777777" w:rsidR="00A74FB2" w:rsidRDefault="0005028C">
            <w:pPr>
              <w:spacing w:after="0" w:line="240" w:lineRule="auto"/>
            </w:pPr>
            <w:r>
              <w:t>SREDNJA STRUKOVNA ŠKOLA BANA JOSIPA JELAČIĆA</w:t>
            </w:r>
          </w:p>
        </w:tc>
      </w:tr>
      <w:tr w:rsidR="00A74FB2" w14:paraId="521455F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8CCC93" w14:textId="77777777" w:rsidR="00A74FB2" w:rsidRDefault="0005028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590E0FE" w14:textId="77777777" w:rsidR="00A74FB2" w:rsidRDefault="0005028C">
            <w:pPr>
              <w:spacing w:after="0" w:line="240" w:lineRule="auto"/>
            </w:pPr>
            <w:r>
              <w:t>31</w:t>
            </w:r>
          </w:p>
        </w:tc>
      </w:tr>
    </w:tbl>
    <w:p w14:paraId="713237D9" w14:textId="77777777" w:rsidR="00A74FB2" w:rsidRDefault="0005028C">
      <w:r>
        <w:br/>
      </w:r>
    </w:p>
    <w:p w14:paraId="2E95613D" w14:textId="77777777" w:rsidR="00A74FB2" w:rsidRDefault="0005028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3C04018" w14:textId="77777777" w:rsidR="00A74FB2" w:rsidRDefault="0005028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167B7E0" w14:textId="77777777" w:rsidR="00A74FB2" w:rsidRDefault="0005028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3060071" w14:textId="77777777" w:rsidR="00A74FB2" w:rsidRDefault="00A74FB2"/>
    <w:p w14:paraId="084BB078" w14:textId="77777777" w:rsidR="00A74FB2" w:rsidRDefault="0005028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ABD8EA9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042EB9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6C389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825F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4CA8B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B2C95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A3428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FCF4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777C79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2D2EA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B2148E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B523E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EF960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2.807.099,09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1C473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3.191.617,88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A2AE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A74FB2" w14:paraId="5CAD71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E68C1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45A8A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2ED59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8466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2.764.912,02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19370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3.419.131,47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22E77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  <w:tr w:rsidR="00A74FB2" w14:paraId="3E289E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99EF9" w14:textId="77777777" w:rsidR="00A74FB2" w:rsidRDefault="00A74F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45733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227D3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EC3DC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CB2A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227.513,59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E8171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74FB2" w14:paraId="26BD5C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73A2D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5F979B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7E52E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007AD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35C54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9CC40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74FB2" w14:paraId="40D923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3D0D5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BF45C8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4F1A8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7985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53.972,91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D1BEC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5.848,90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51B68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</w:t>
            </w:r>
          </w:p>
        </w:tc>
      </w:tr>
      <w:tr w:rsidR="00A74FB2" w14:paraId="611C7A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53AE5" w14:textId="77777777" w:rsidR="00A74FB2" w:rsidRDefault="00A74F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514CD7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DB24B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ADA717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53.972,91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EFC78B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5.848,90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6DD1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10,8</w:t>
            </w:r>
          </w:p>
        </w:tc>
      </w:tr>
      <w:tr w:rsidR="00A74FB2" w14:paraId="793E5A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ADE9F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5B2DD5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A4DCC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76A0C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FC0728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B573B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74FB2" w14:paraId="6BE8E3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4B32D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2AA3AE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63E59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2CB27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86372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BE2C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74FB2" w14:paraId="1BC4AD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24BF0" w14:textId="77777777" w:rsidR="00A74FB2" w:rsidRDefault="00A74F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08199E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B9DA9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C3F5F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81DC4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AC49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74FB2" w14:paraId="1F1DEA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816CB" w14:textId="77777777" w:rsidR="00A74FB2" w:rsidRDefault="00A74F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F44B5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BC13A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09015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11.785,84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45072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233.362,49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EDE9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1980,0</w:t>
            </w:r>
          </w:p>
        </w:tc>
      </w:tr>
    </w:tbl>
    <w:p w14:paraId="59C09B94" w14:textId="77777777" w:rsidR="00A74FB2" w:rsidRDefault="00A74FB2">
      <w:pPr>
        <w:spacing w:after="0"/>
      </w:pPr>
    </w:p>
    <w:p w14:paraId="4D1D6777" w14:textId="77777777" w:rsidR="00A74FB2" w:rsidRDefault="0005028C">
      <w:r>
        <w:t>U razdoblju od 01.01. od 31.12.2025. prihodi poslovanja ostvareni su u iznosu od 3.191.617,88€. Najznačajnije povećanje prihoda poslovanja je od tekućih pomoći od nadležnog proračuna za plaće, od nenadležnoga proračuna za materijalne rashode te druge rasho</w:t>
      </w:r>
      <w:r>
        <w:t xml:space="preserve">de potrebnih za poslovanje škole. Najznačajnije smanjenje prihoda poslovanja je od prihoda od pruženih usluga za </w:t>
      </w:r>
      <w:proofErr w:type="spellStart"/>
      <w:r>
        <w:t>iznamljivanje</w:t>
      </w:r>
      <w:proofErr w:type="spellEnd"/>
      <w:r>
        <w:t xml:space="preserve"> poslovnoga prostora( radi manje potražnje za našim poslovnim prostorima), te od prihoda od nenadležnoga proračuna za kapitalna ul</w:t>
      </w:r>
      <w:r>
        <w:t xml:space="preserve">aganja ( prošle godine je bilo ulaganje u sanaciju sustava centralnoga grijanja sada samo u knjige za </w:t>
      </w:r>
      <w:r>
        <w:lastRenderedPageBreak/>
        <w:t>knjižnicu). Rashodi poslovanja u razdoblju od 01.01. do 31.12.2025. ostvareni su u iznosu od 3.419.131,47€. Najznačajnije povećanje rashoda evidentirano j</w:t>
      </w:r>
      <w:r>
        <w:t>e na rashodima za zaposlene uslijed povećanja plaća, radi knjiženja plaće djelatnika, naknade za invalide, materijalnih prava, drugog dohotka te troškova na teret SDŽ za 12/2025. na trošak na 31.12.2025. a prihod će biti realiziran u 01./2026. Povećanje ra</w:t>
      </w:r>
      <w:r>
        <w:t>shoda je bilo za uredski materijal radi povećanih potreba za istim te intelektualnih usluga i naknada troškova osobama izvan radnog odnosa radi povećanih potreba za dodatnim računovodstvenim uslugama i za radnicima na  II. dohodak,  te povećanje naknade gr</w:t>
      </w:r>
      <w:r>
        <w:t xml:space="preserve">ađanima u novcu radi sufinanciranja za nabavku udžbenika za učenike srednjih škola za </w:t>
      </w:r>
      <w:proofErr w:type="spellStart"/>
      <w:r>
        <w:t>šk.godinu</w:t>
      </w:r>
      <w:proofErr w:type="spellEnd"/>
      <w:r>
        <w:t xml:space="preserve"> 2025/2026. Najznačajnije smanjenje rashoda poslovanja bilježi se na rashodima za zdravstvene usluge te službenu odjeću radi smanjenih potreba za istim. U navede</w:t>
      </w:r>
      <w:r>
        <w:t>nom razdoblju nema ostvarenih prihoda od prodaje nefinancijske imovine, dok su rashodi za nabavu nefinancijske imovine ostvareni u iznosu od 5.848,90 €. Navedeni rashod odnosi na kupnju knjiga za knjižnicu te kupnja električnih ležajeva za kabinet kozmetič</w:t>
      </w:r>
      <w:r>
        <w:t>ara. U navedenom razdoblju nije bilo ostvarenih primitaka ni izdataka od financijske imovine i zaduživanja. U razdoblju od 01.01. do 31.12.2025. ostvaren je manjak prihoda poslovanja u iznosu od 227.513,59€, manjak prihoda od nefinancijske imovine od 5.848</w:t>
      </w:r>
      <w:r>
        <w:t>,90€, slijedom čega je na kraju izvještajnoga razdoblja ostvaren ukupan manjak prihoda i primitaka u iznosu od 233.362,49€. </w:t>
      </w:r>
    </w:p>
    <w:p w14:paraId="7C170CE1" w14:textId="77777777" w:rsidR="00A74FB2" w:rsidRDefault="0005028C">
      <w:r>
        <w:t> </w:t>
      </w:r>
    </w:p>
    <w:p w14:paraId="1B560CFA" w14:textId="77777777" w:rsidR="00A74FB2" w:rsidRDefault="0005028C">
      <w:r>
        <w:t> </w:t>
      </w:r>
    </w:p>
    <w:p w14:paraId="4F3C8266" w14:textId="77777777" w:rsidR="00A74FB2" w:rsidRDefault="0005028C">
      <w:r>
        <w:br/>
      </w:r>
    </w:p>
    <w:p w14:paraId="5F636A01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45F8AC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6983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AF08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AC78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6823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EDDA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985A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06C83E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77F1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A26FB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39BE9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125D7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2.490.339,44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58E09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2.748.217,52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6BC72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14:paraId="4B1A3856" w14:textId="77777777" w:rsidR="00A74FB2" w:rsidRDefault="00A74FB2">
      <w:pPr>
        <w:spacing w:after="0"/>
      </w:pPr>
    </w:p>
    <w:p w14:paraId="47F016E1" w14:textId="77777777" w:rsidR="00A74FB2" w:rsidRDefault="0005028C">
      <w:r>
        <w:t>Zabilježen je rast pomoći proračunskim korisnicima iz proračuna koji im nije nadležan za 10,4% u odnosu na prethodno godišnje razdoblje budući da je došlo do povećanja broja djelatnika, povećanja osnovice za plaću, povećanje broja učenika sa poteškoćama ra</w:t>
      </w:r>
      <w:r>
        <w:t>zvoju kojima MZO financira troškove prijevoza u razvoju te iznosa naknade za invalide, te obračuna plaće za drugi dohodak. Kapitalne pomoći proračunskim korisnicima su realizirane u 2025. godini radi uplate MZO-a radi lektira za knjižnicu.</w:t>
      </w:r>
    </w:p>
    <w:p w14:paraId="60AA9532" w14:textId="77777777" w:rsidR="00A74FB2" w:rsidRDefault="00A74FB2"/>
    <w:p w14:paraId="0B2A88BE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22C2FA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C91E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528B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72B4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40AD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2032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09A0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04109E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3E465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2DCE5B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266D4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FB0E7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31.634,44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725840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31.587,35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049EC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99,9</w:t>
            </w:r>
          </w:p>
        </w:tc>
      </w:tr>
    </w:tbl>
    <w:p w14:paraId="0CA9F86C" w14:textId="77777777" w:rsidR="00A74FB2" w:rsidRDefault="00A74FB2">
      <w:pPr>
        <w:spacing w:after="0"/>
      </w:pPr>
    </w:p>
    <w:p w14:paraId="6FABECB2" w14:textId="77777777" w:rsidR="00A74FB2" w:rsidRDefault="0005028C">
      <w:r>
        <w:lastRenderedPageBreak/>
        <w:t>Zabilježeno je smanjenje prijenosa između proračunskih korisnika istog proračuna za 0,10% u odnosu na prethodno izvještajno polugodišnje razdoblje zadržali smo relativno isti broj pomoćnika u nastavi. Dane su nam upute Splitsko-dalmatinske županije o knjiž</w:t>
      </w:r>
      <w:r>
        <w:t xml:space="preserve">enju uplaćenih sredstava od strane SDŽ za financiranje plaća, doprinosa, prijevoza, </w:t>
      </w:r>
      <w:proofErr w:type="spellStart"/>
      <w:r>
        <w:t>uskrsnice</w:t>
      </w:r>
      <w:proofErr w:type="spellEnd"/>
      <w:r>
        <w:t xml:space="preserve"> i regresa za projekt UČIMO ZAJEDNO za pomoći i pomoći EU u postotku 53,95% pri čemu se 15% što iznosi 4.738,10 € odnosi na konto 6391-Tekući prijenosi između pror</w:t>
      </w:r>
      <w:r>
        <w:t>ačunskih korisnika istoga proračuna a 85% što iznosi 26.849,25€ na konto 6393- Tekući prijenosi između proračunskih korisnika istoga proračuna temeljem prijenosa EU sredstava.</w:t>
      </w:r>
    </w:p>
    <w:p w14:paraId="31A461F9" w14:textId="77777777" w:rsidR="00A74FB2" w:rsidRDefault="00A74FB2"/>
    <w:p w14:paraId="0A4F6A4C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3FC71F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D9B1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44F2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E283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8DE81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CDAA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BE4D9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2B4D2A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2C322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4D7CD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7B541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15A08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78919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353A9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14:paraId="4A55DC26" w14:textId="77777777" w:rsidR="00A74FB2" w:rsidRDefault="00A74FB2">
      <w:pPr>
        <w:spacing w:after="0"/>
      </w:pPr>
    </w:p>
    <w:p w14:paraId="5AEB856E" w14:textId="77777777" w:rsidR="00A74FB2" w:rsidRDefault="0005028C">
      <w:r>
        <w:t>Prihodi od financijske imovine su veći za 17,40 % u tekućem izvještajnom godišnjem razdoblju na temelju kamata po viđenju zbog više novaca na računu škole za razliku od godišnjeg izvještajnog razdoblja.</w:t>
      </w:r>
    </w:p>
    <w:p w14:paraId="186AAED2" w14:textId="77777777" w:rsidR="00A74FB2" w:rsidRDefault="00A74FB2"/>
    <w:p w14:paraId="4FC16A4E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44F3A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81F2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F2B4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CFB8B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AE3C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132CB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665F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04209B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8F5A4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E47F94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F12ED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5F6D9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16.490,63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BBA20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16.748,27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0288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</w:tbl>
    <w:p w14:paraId="71FFA410" w14:textId="77777777" w:rsidR="00A74FB2" w:rsidRDefault="00A74FB2">
      <w:pPr>
        <w:spacing w:after="0"/>
      </w:pPr>
    </w:p>
    <w:p w14:paraId="7745F092" w14:textId="77777777" w:rsidR="00A74FB2" w:rsidRDefault="0005028C">
      <w:r>
        <w:t>Prihodi po posebnim propisima su veći za 1,60% u odnosu na prethodno polugodišnje razdoblje budući da je došlo do povećanja cijena održavanja maturalne zabave te povećanog broja maturanata.</w:t>
      </w:r>
    </w:p>
    <w:p w14:paraId="512B0D7F" w14:textId="77777777" w:rsidR="00A74FB2" w:rsidRDefault="00A74FB2"/>
    <w:p w14:paraId="7BB18FBC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60C417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40DE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5C18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F941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03999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E923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C876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052543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A087F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B4C7A8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C318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E3E18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0C759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C751B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52,6</w:t>
            </w:r>
          </w:p>
        </w:tc>
      </w:tr>
    </w:tbl>
    <w:p w14:paraId="018D3D48" w14:textId="77777777" w:rsidR="00A74FB2" w:rsidRDefault="00A74FB2">
      <w:pPr>
        <w:spacing w:after="0"/>
      </w:pPr>
    </w:p>
    <w:p w14:paraId="2274A30A" w14:textId="77777777" w:rsidR="00A74FB2" w:rsidRDefault="0005028C">
      <w:r>
        <w:t>Prihodi od pruženih usluga su manji za 47,40% u odnosu na prethodno godišnje razdoblje zbog manje realiziranih usluga za najam školskoga prostora.</w:t>
      </w:r>
    </w:p>
    <w:p w14:paraId="6F9F6CBB" w14:textId="77777777" w:rsidR="00A74FB2" w:rsidRDefault="00A74FB2"/>
    <w:p w14:paraId="521B2CD1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39C8DA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33F4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FF34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45B6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48219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FCB9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1C615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55842B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20656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3A0335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9ECA9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8D227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31C4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192A8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7EBF08" w14:textId="77777777" w:rsidR="00A74FB2" w:rsidRDefault="00A74FB2">
      <w:pPr>
        <w:spacing w:after="0"/>
      </w:pPr>
    </w:p>
    <w:p w14:paraId="7B73725D" w14:textId="77777777" w:rsidR="00A74FB2" w:rsidRDefault="0005028C">
      <w:r>
        <w:t>Tekuće donacije su realizirani prihodi u odnosu na prethodno godišnje razdoblje. U ovom tekućem izvještajnom razdoblju realizirane su donacije za maturalnu zabavu te donacije za međužupanijsko natjecanje frizera u našoj školi za kupnju materijala i ostalih</w:t>
      </w:r>
      <w:r>
        <w:t xml:space="preserve"> troškova za potrebe natjecanja.</w:t>
      </w:r>
    </w:p>
    <w:p w14:paraId="16F75F89" w14:textId="77777777" w:rsidR="00A74FB2" w:rsidRDefault="00A74FB2"/>
    <w:p w14:paraId="2B18C717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5F5416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A794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C3E6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422D5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91E9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87A0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F18B8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54B878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F9877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E8E49A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</w:t>
            </w:r>
            <w:r>
              <w:rPr>
                <w:sz w:val="18"/>
              </w:rPr>
              <w:t>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6937A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49D9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215.320,78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F7843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388.857,37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56F38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180,6</w:t>
            </w:r>
          </w:p>
        </w:tc>
      </w:tr>
    </w:tbl>
    <w:p w14:paraId="43FD73E8" w14:textId="77777777" w:rsidR="00A74FB2" w:rsidRDefault="00A74FB2">
      <w:pPr>
        <w:spacing w:after="0"/>
      </w:pPr>
    </w:p>
    <w:p w14:paraId="6D54656B" w14:textId="77777777" w:rsidR="00A74FB2" w:rsidRDefault="0005028C">
      <w:r>
        <w:t>Prihodi iz nadležnog proračuna za financiranje rashoda poslovanja veći za 80,60 % u odnosu na prethodno godišnje razdoblje zbog  većih uplata SDŽ za materijalne rashode iz tekuće godine te radi uplate SDŽ za materijalne rashode iz 2024.g. SDŽ je također up</w:t>
      </w:r>
      <w:r>
        <w:t>latila školi 137.400,00€ za sufinanciranje nabave udžbenika za učenike srednjih škola za školsku godinu 2025/2026.</w:t>
      </w:r>
    </w:p>
    <w:p w14:paraId="59C3A76A" w14:textId="77777777" w:rsidR="00A74FB2" w:rsidRDefault="00A74FB2"/>
    <w:p w14:paraId="41FA7CED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6881A8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76DC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A874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402B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9C7A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C4375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49C6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10BB16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C612C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98AC0D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D4B1C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7499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51.494,29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EE639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2CD4F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4,1</w:t>
            </w:r>
          </w:p>
        </w:tc>
      </w:tr>
    </w:tbl>
    <w:p w14:paraId="7466C522" w14:textId="77777777" w:rsidR="00A74FB2" w:rsidRDefault="00A74FB2">
      <w:pPr>
        <w:spacing w:after="0"/>
      </w:pPr>
    </w:p>
    <w:p w14:paraId="25A5A390" w14:textId="77777777" w:rsidR="00A74FB2" w:rsidRDefault="0005028C">
      <w:r>
        <w:t>Prihodi iz nadležnog proračuna za financiranje rashoda za nabavu nefinancijske imovine- manji  za 95,90% u odnosu na prethodno godišnje razdoblje jer je u 2024.g. bila sanacija sustava centralnog grijanja a u 2025.g.od strane SDŽ uplata za lektire za knjiž</w:t>
      </w:r>
      <w:r>
        <w:t>nicu.</w:t>
      </w:r>
    </w:p>
    <w:p w14:paraId="5E8088AD" w14:textId="77777777" w:rsidR="00A74FB2" w:rsidRDefault="0005028C">
      <w:r>
        <w:t> </w:t>
      </w:r>
    </w:p>
    <w:p w14:paraId="04084BFD" w14:textId="77777777" w:rsidR="00A74FB2" w:rsidRDefault="00A74FB2"/>
    <w:p w14:paraId="4D57D50B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1FA79C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4E05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E245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42DAB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89E5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013D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56EC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70C341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AEE7F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C726D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E95D8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73591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2.115.980,46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EDB10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2.529.015,13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6B10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0DB1B630" w14:textId="77777777" w:rsidR="00A74FB2" w:rsidRDefault="00A74FB2">
      <w:pPr>
        <w:spacing w:after="0"/>
      </w:pPr>
    </w:p>
    <w:p w14:paraId="75A6FCEB" w14:textId="77777777" w:rsidR="00A74FB2" w:rsidRDefault="0005028C">
      <w:r>
        <w:t>Plaće su veće za 19,50 % u odnosu na prethodno godišnje razdoblje budući da je došlo do povećanja osnovice za plaću te je veći broj djelatnika financiranih preko MZO a time i povećanja doprinosa za obvezno zdravstveno osiguranje. Ostali rashodi za zaposlen</w:t>
      </w:r>
      <w:r>
        <w:t>e su se malo povećali u odnosu na prethodno godišnje razdoblje budući da je došlo do većih potreba zaposlenika za materijalnim pravima ( pomoći za bolovanje, pomoć za smrt užeg člana obitelji, jubilarne nagrade). Doprinos za obvezno osiguranje u slučaju ne</w:t>
      </w:r>
      <w:r>
        <w:t>zaposlenosti u ovom godišnjem razdoblju nisu ostvareni rashodi u odnosu na prethodno godišnje razdoblje zbog toga što u ovom razdoblju nije bilo isplata sudskih presuda za isplatu razlike plaće 6% za razdoblje od 12/2015-01/2016. kada se isplaćivao ovaj do</w:t>
      </w:r>
      <w:r>
        <w:t>prinos.</w:t>
      </w:r>
    </w:p>
    <w:p w14:paraId="2241A707" w14:textId="77777777" w:rsidR="00A74FB2" w:rsidRDefault="00A74FB2"/>
    <w:p w14:paraId="4BB1817F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1F504C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1C9B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35BF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D379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AF36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96655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77429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54D2E7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CB057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55EF8B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37D98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5D862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62.685,70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CAE8DF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70.306,31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545F2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14:paraId="3A11C4BC" w14:textId="77777777" w:rsidR="00A74FB2" w:rsidRDefault="00A74FB2">
      <w:pPr>
        <w:spacing w:after="0"/>
      </w:pPr>
    </w:p>
    <w:p w14:paraId="56B5302B" w14:textId="77777777" w:rsidR="00A74FB2" w:rsidRDefault="0005028C">
      <w:r>
        <w:t xml:space="preserve">Naknade troškova zaposlenima su veći za 12,20% u odnosu na prethodno godišnje razdoblje zbog veće zainteresiranosti profesora za seminare i stručna usavršavanja. Naknade za prijevoz djelatnika su veći izdaci za prijevoz zaposlenika na posao i s posla zbog </w:t>
      </w:r>
      <w:r>
        <w:t> porasta cijene prijevoza te većeg broja zaposlenika.</w:t>
      </w:r>
    </w:p>
    <w:p w14:paraId="0005D397" w14:textId="77777777" w:rsidR="00A74FB2" w:rsidRDefault="00A74FB2"/>
    <w:p w14:paraId="7A9305E5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538C73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60B5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D041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18101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EB6C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6536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A7AF8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166E2B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A9122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0EA9C1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materijal i </w:t>
            </w:r>
            <w:r>
              <w:rPr>
                <w:sz w:val="18"/>
              </w:rPr>
              <w:t>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33A3E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2E09EF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98.071,51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FCC2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111.683,57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79BBB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14:paraId="1B7B39D0" w14:textId="77777777" w:rsidR="00A74FB2" w:rsidRDefault="00A74FB2">
      <w:pPr>
        <w:spacing w:after="0"/>
      </w:pPr>
    </w:p>
    <w:p w14:paraId="61659995" w14:textId="77777777" w:rsidR="00A74FB2" w:rsidRDefault="0005028C">
      <w:r>
        <w:t>Rashodi za materijal i energiju su veći za 13,90% u odnosu na prethodno godišnje razdoblje zbog  porasta cijena uredskoga materijala te povećanih potreba za uredskim materijalom, zbog veće potrošnje električne energije, zbog većih potreba za materijalom za</w:t>
      </w:r>
      <w:r>
        <w:t xml:space="preserve"> održavanje škole radi izgradnje medicinskoga kabineta te zbog većih potreba za sitnim inventarom škole i radi održavanja međužupanijskoga natjecanja za frizere. Zabilježen je pad službene radne i zaštitne odjeća i obuće  u odnosu na prethodno godišnje raz</w:t>
      </w:r>
      <w:r>
        <w:t>doblje zbog manjih potreba za radnom obućom i odjećom.</w:t>
      </w:r>
    </w:p>
    <w:p w14:paraId="11C1CBBD" w14:textId="77777777" w:rsidR="00A74FB2" w:rsidRDefault="00A74FB2"/>
    <w:p w14:paraId="52B1C6A2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0814A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E1EC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0722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8B15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828A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C648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9BBC1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404D39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A46E6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9E946D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usluge (šifre </w:t>
            </w:r>
            <w:r>
              <w:rPr>
                <w:sz w:val="18"/>
              </w:rPr>
              <w:t>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0D188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32BE2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32.647,17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7343F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27.554,25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C491A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84,4</w:t>
            </w:r>
          </w:p>
        </w:tc>
      </w:tr>
    </w:tbl>
    <w:p w14:paraId="6DAC286D" w14:textId="77777777" w:rsidR="00A74FB2" w:rsidRDefault="00A74FB2">
      <w:pPr>
        <w:spacing w:after="0"/>
      </w:pPr>
    </w:p>
    <w:p w14:paraId="0097BC9C" w14:textId="77777777" w:rsidR="00A74FB2" w:rsidRDefault="0005028C">
      <w:r>
        <w:t>Rashodi za usluge su manji za 15,60 % u odnosu na prethodno godišnje razdoblje budući da je došlo do manje potrošnje telefona, poštarine te usluga prijevoza, smanjenih potreba za investicijsko održavanje u odnosu na prethodno godišnje razdoblje kada su bil</w:t>
      </w:r>
      <w:r>
        <w:t>i veći troškovi zbog renoviranja učionica u medicinski kabinet. Kod usluga promidžbe i informiranja nije realiziran trošak  u odnosu na prethodno godišnje razdoblje zbog objave natječaja za ravnatelja u Narodnim novinama u prošlogodišnjem izvještajnom razd</w:t>
      </w:r>
      <w:r>
        <w:t>oblju. Manja potrošnja komunalnih usluga u odnosu na prethodno godišnje razdoblje zbog manje potrošnje vode u školi te zbog plaćanja vodnoga doprinosa za legalizaciju škole u prošlogodišnjem razdoblju. Kod zakupnina i najamnina su realizirani veći troškovi</w:t>
      </w:r>
      <w:r>
        <w:t xml:space="preserve"> zbog kupnje licenci za program za raspored te veće cijene licenci za učeničke programe. Kod zdravstvenih i veterinarskih usluga smanjeni troškovi zbog manjih broja odlazaka na zdravstvene preglede. Kod Intelektualnih i osobnih usluga su veći rashodi buduć</w:t>
      </w:r>
      <w:r>
        <w:t>i da se u ovom godišnjem razdoblju isplatila naknada za drugi dohodak za računovodstvene usluge. Ostale usluge manji rashodi u odnosu na prethodno godišnje razdoblje radi smanjenih potreba za raznim uslugama.</w:t>
      </w:r>
    </w:p>
    <w:p w14:paraId="582B6C6F" w14:textId="77777777" w:rsidR="00A74FB2" w:rsidRDefault="00A74FB2"/>
    <w:p w14:paraId="14EBCE45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2C925A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4FA3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0F9D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C598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2ABD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81CB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38E98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6BA19D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22E7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AC288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A779D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B95F5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49C44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5.059,61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BA264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433,3</w:t>
            </w:r>
          </w:p>
        </w:tc>
      </w:tr>
    </w:tbl>
    <w:p w14:paraId="3235B2B8" w14:textId="77777777" w:rsidR="00A74FB2" w:rsidRDefault="00A74FB2">
      <w:pPr>
        <w:spacing w:after="0"/>
      </w:pPr>
    </w:p>
    <w:p w14:paraId="51161A47" w14:textId="77777777" w:rsidR="00A74FB2" w:rsidRDefault="0005028C">
      <w:r>
        <w:t>Naknada troškova osobama izvan radnog odnosa u ovom godišnjem razdoblju su realizirani veći rashodi u odnosu na prethodno godišnje razdoblje jer je bila potreba za isplatom profesorima na temelju drugoga dohotka.</w:t>
      </w:r>
    </w:p>
    <w:p w14:paraId="57FB030A" w14:textId="77777777" w:rsidR="00A74FB2" w:rsidRDefault="00A74FB2"/>
    <w:p w14:paraId="53B06A07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105AA6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06EC1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59E49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6048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876C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0771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4C6C8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4603C1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365EA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2966DF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C60F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FBA04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21.689,86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901BB2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26.025,28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35940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14:paraId="19129AB2" w14:textId="77777777" w:rsidR="00A74FB2" w:rsidRDefault="00A74FB2">
      <w:pPr>
        <w:spacing w:after="0"/>
      </w:pPr>
    </w:p>
    <w:p w14:paraId="79C55941" w14:textId="77777777" w:rsidR="00A74FB2" w:rsidRDefault="0005028C">
      <w:r>
        <w:t>Ostali nespomenuti rashodi poslovanja su veći za 20,00 % u odnosu na prethodno godišnje razdoblje zbog većeg  broja članova povjerenstva za županijsko natjecanje u odnosu na prethodno godišnje razdoblje. Kod premije osiguranja realizirani su rashodi u odno</w:t>
      </w:r>
      <w:r>
        <w:t xml:space="preserve">su na prethodno godišnje razdoblje kada  nije bio trošak osiguranja školskoga kombija. Veći rashodi za reprezentaciju u odnosu na prethodno godišnje razdoblje jer je bilo veći broj čašćenja </w:t>
      </w:r>
      <w:r>
        <w:lastRenderedPageBreak/>
        <w:t>sudionika za razne prezentacije u našoj školi. Ostvareni su veći r</w:t>
      </w:r>
      <w:r>
        <w:t>ashodi za pristojbe i naknade zbog većeg broja isplaćenih naknada za nezapošljavanje invalida. Povećani troškovi za ostale nespomenute rashode poslovanja budući da je došlo do povećanja cijena održavanja maturalne zabave te povećanog broja maturanata</w:t>
      </w:r>
    </w:p>
    <w:p w14:paraId="22FE1477" w14:textId="77777777" w:rsidR="00A74FB2" w:rsidRDefault="00A74FB2"/>
    <w:p w14:paraId="0863EAD5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130D15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4996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F300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294B9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053A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6DED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0244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754BA2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1C1C7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73E886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C58FC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EA294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FB1E0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7BB5D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</w:t>
            </w:r>
          </w:p>
        </w:tc>
      </w:tr>
    </w:tbl>
    <w:p w14:paraId="719B2A76" w14:textId="77777777" w:rsidR="00A74FB2" w:rsidRDefault="00A74FB2">
      <w:pPr>
        <w:spacing w:after="0"/>
      </w:pPr>
    </w:p>
    <w:p w14:paraId="68B8F543" w14:textId="77777777" w:rsidR="00A74FB2" w:rsidRDefault="0005028C">
      <w:r>
        <w:t>Ostali financijski rashodi su veći za 0,5% u odnosu na prethodno godišnje razdoblje zbog  toga što nisu realizirani rashodi za zatezne kamate u odnosu na prethodno polugodišnje razdoblje kada je bilo isplata sudskih presuda za isplatu razlike plaće 6% za r</w:t>
      </w:r>
      <w:r>
        <w:t>azdoblje od 12/2015-01/2016.  Trošak transakcija preko računa škole je porastao zbog većeg broja transakcija preko HPB Zagreb za platni promet.</w:t>
      </w:r>
    </w:p>
    <w:p w14:paraId="1AA60A0C" w14:textId="77777777" w:rsidR="00A74FB2" w:rsidRDefault="00A74FB2"/>
    <w:p w14:paraId="6EDC27C0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71F30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DF63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AC955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AB4AB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1E87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F660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93995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4A6353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A9679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EB67F6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0379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05812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F6C54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144.881,75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B986D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2483,3</w:t>
            </w:r>
          </w:p>
        </w:tc>
      </w:tr>
    </w:tbl>
    <w:p w14:paraId="5F790868" w14:textId="77777777" w:rsidR="00A74FB2" w:rsidRDefault="00A74FB2">
      <w:pPr>
        <w:spacing w:after="0"/>
      </w:pPr>
    </w:p>
    <w:p w14:paraId="41445B71" w14:textId="77777777" w:rsidR="00A74FB2" w:rsidRDefault="0005028C">
      <w:r>
        <w:t>Ostale naknade građanima i kućanstvima iz proračuna su veće u odnosu na prethodno godišnje razdoblje zbog toga što je u ovom razdoblju isplaćen veći broj mjesečnih isplata prijevoza učenika sa poteškoćama razvoju kojima MZO financira troškove prijevoza. SD</w:t>
      </w:r>
      <w:r>
        <w:t>Ž je također uplatila školi 137.400,00€ za sufinanciranje nabave udžbenika za učenike srednjih škola za školsku godinu 2025/2026.</w:t>
      </w:r>
    </w:p>
    <w:p w14:paraId="7674D9D6" w14:textId="77777777" w:rsidR="00A74FB2" w:rsidRDefault="00A74FB2"/>
    <w:p w14:paraId="7BD5D422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6FC884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8240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BB86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E0B4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4788B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131B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DA67B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4A2010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EA384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23FA82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E3B4B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5A5ED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B74B3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8DDC1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14:paraId="4B15965F" w14:textId="77777777" w:rsidR="00A74FB2" w:rsidRDefault="00A74FB2">
      <w:pPr>
        <w:spacing w:after="0"/>
      </w:pPr>
    </w:p>
    <w:p w14:paraId="1636A2D1" w14:textId="77777777" w:rsidR="00A74FB2" w:rsidRDefault="0005028C">
      <w:r>
        <w:t>Postrojenja i oprema su veći troškovi u odnosu na prethodno godišnje razdoblje budući da je u ovom razdoblju bila kupnja opreme odnosno električnih ležajeva za kozmetički kabinet.</w:t>
      </w:r>
    </w:p>
    <w:p w14:paraId="4910D968" w14:textId="77777777" w:rsidR="00A74FB2" w:rsidRDefault="00A74FB2"/>
    <w:p w14:paraId="26714E70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24ED5C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AE87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6006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9D545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782D8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37CF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D400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454238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DABF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B9E097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9E8DC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6F7E4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0D9F7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6C78D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323,2</w:t>
            </w:r>
          </w:p>
        </w:tc>
      </w:tr>
    </w:tbl>
    <w:p w14:paraId="18813CC4" w14:textId="77777777" w:rsidR="00A74FB2" w:rsidRDefault="00A74FB2">
      <w:pPr>
        <w:spacing w:after="0"/>
      </w:pPr>
    </w:p>
    <w:p w14:paraId="3104EB1E" w14:textId="77777777" w:rsidR="00A74FB2" w:rsidRDefault="0005028C">
      <w:r>
        <w:t>Knjige su u ovom godišnjem razdoblju veće za 223,20% u odnosu na prethodno godišnje razdoblje zbog financiranja lektira za knjižnicu od strane MZO-a i SDŽ.</w:t>
      </w:r>
    </w:p>
    <w:p w14:paraId="24BCB56B" w14:textId="77777777" w:rsidR="00A74FB2" w:rsidRDefault="00A74FB2"/>
    <w:p w14:paraId="76888357" w14:textId="77777777" w:rsidR="00A74FB2" w:rsidRDefault="0005028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E2386A8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4873AE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1C42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F066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4748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74F3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6A14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7339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A74FB2" w14:paraId="30FF4D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3B15F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E84FB8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72741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9A12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74.689,54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69673B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49.398,11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A36A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66,1</w:t>
            </w:r>
          </w:p>
        </w:tc>
      </w:tr>
    </w:tbl>
    <w:p w14:paraId="4D500759" w14:textId="77777777" w:rsidR="00A74FB2" w:rsidRDefault="00A74FB2">
      <w:pPr>
        <w:spacing w:after="0"/>
      </w:pPr>
    </w:p>
    <w:p w14:paraId="1236C058" w14:textId="77777777" w:rsidR="00A74FB2" w:rsidRDefault="0005028C">
      <w:r>
        <w:t>Veći iznos amortizacije postrojenja i opreme u 2025.g.u odnosu na 2024.godinu. pa je manja sadašnja vrijednost postrojenja i opreme.</w:t>
      </w:r>
    </w:p>
    <w:p w14:paraId="597DAFBB" w14:textId="77777777" w:rsidR="00A74FB2" w:rsidRDefault="00A74FB2"/>
    <w:p w14:paraId="45CB88E0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741BF5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EE17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BDE1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39548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2DA3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9B7B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98B2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631FA0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7D14E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58FC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8A0AC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8E44B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297.973,19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AC3D2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325.461,15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7406F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14:paraId="4F609885" w14:textId="77777777" w:rsidR="00A74FB2" w:rsidRDefault="00A74FB2">
      <w:pPr>
        <w:spacing w:after="0"/>
      </w:pPr>
    </w:p>
    <w:p w14:paraId="47C81416" w14:textId="77777777" w:rsidR="00A74FB2" w:rsidRDefault="0005028C">
      <w:r>
        <w:t>Veći iznos amortizacije postrojenja i opreme u 2025.g.u odnosu na 2024.godinu. </w:t>
      </w:r>
    </w:p>
    <w:p w14:paraId="61B76DCD" w14:textId="77777777" w:rsidR="00A74FB2" w:rsidRDefault="00A74FB2"/>
    <w:p w14:paraId="54FC3B32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4EE5C6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7D251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C4F81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2FF3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6153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77FF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61DE5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37610E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2E94D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ED1255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4F4D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90904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CB16A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4.861,41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F085F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174,3</w:t>
            </w:r>
          </w:p>
        </w:tc>
      </w:tr>
    </w:tbl>
    <w:p w14:paraId="217D382D" w14:textId="77777777" w:rsidR="00A74FB2" w:rsidRDefault="00A74FB2">
      <w:pPr>
        <w:spacing w:after="0"/>
      </w:pPr>
    </w:p>
    <w:p w14:paraId="5BE0DFB3" w14:textId="77777777" w:rsidR="00A74FB2" w:rsidRDefault="0005028C">
      <w:r>
        <w:t>Veća vrijednost knjiga u ovom izvještajnom razdoblju zbog veće nabavke knjiga za knjižnicu u 2025.g. financiranih sredstvima od MZO i županije.</w:t>
      </w:r>
    </w:p>
    <w:p w14:paraId="5CF2CF8F" w14:textId="77777777" w:rsidR="00A74FB2" w:rsidRDefault="00A74FB2"/>
    <w:p w14:paraId="6A11929D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6EBC63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27FE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2A0B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C120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C5AF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A164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4D71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06E9A6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2E12C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C53891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7D582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6DD54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58.463,46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5B828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71.162,11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6ABCC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14:paraId="4C94EF35" w14:textId="77777777" w:rsidR="00A74FB2" w:rsidRDefault="00A74FB2">
      <w:pPr>
        <w:spacing w:after="0"/>
      </w:pPr>
    </w:p>
    <w:p w14:paraId="08A9A8F6" w14:textId="77777777" w:rsidR="00A74FB2" w:rsidRDefault="0005028C">
      <w:r>
        <w:t>Veća vrijednost sitnog inventara u ovom izvještajnom razdoblju zbog veće potrebe za sitnim inventarom za potrebe renoviranja kabineta i natjecanja u 2025.g.</w:t>
      </w:r>
    </w:p>
    <w:p w14:paraId="6FC39DA3" w14:textId="77777777" w:rsidR="00A74FB2" w:rsidRDefault="00A74FB2"/>
    <w:p w14:paraId="3E835FDD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197F17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17F9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9C48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5AA7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86F6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62DF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E200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A74FB2" w14:paraId="525E15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AAE6B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C20F6C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65FD3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70755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10E03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3.965,59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36388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1139,2</w:t>
            </w:r>
          </w:p>
        </w:tc>
      </w:tr>
    </w:tbl>
    <w:p w14:paraId="7E5C3EDD" w14:textId="77777777" w:rsidR="00A74FB2" w:rsidRDefault="00A74FB2">
      <w:pPr>
        <w:spacing w:after="0"/>
      </w:pPr>
    </w:p>
    <w:p w14:paraId="33E49BDF" w14:textId="77777777" w:rsidR="00A74FB2" w:rsidRDefault="0005028C">
      <w:r>
        <w:t>Potraživanja se odnose na bolovanje preko 42 dana na teret HZZO, te radi potraživanja za predujmove. Veći iznos u odnosu na prethodno izvještajno razdoblje je zbog potraživanja za predujmove., te manje refundiranih sredstava na teret HZZO-a.</w:t>
      </w:r>
    </w:p>
    <w:p w14:paraId="643C8FF4" w14:textId="77777777" w:rsidR="00A74FB2" w:rsidRDefault="00A74FB2"/>
    <w:p w14:paraId="026B6A99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685220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512B9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C245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A119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0AEDB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0F6D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9F2B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5DF163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CEC96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CCF881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647AD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89761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3454C7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236.710,06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54FC1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83DF4E" w14:textId="77777777" w:rsidR="00A74FB2" w:rsidRDefault="00A74FB2">
      <w:pPr>
        <w:spacing w:after="0"/>
      </w:pPr>
    </w:p>
    <w:p w14:paraId="2E1A5BB9" w14:textId="77777777" w:rsidR="00A74FB2" w:rsidRDefault="0005028C">
      <w:r>
        <w:t>Potraživanja se odnose za 12/2025 za plaću za djelatnike financiranih preko MZO-a, za plaću PUN, za plaću za drugi dohodak, za naknadu za invalide i za materijalna prava. </w:t>
      </w:r>
    </w:p>
    <w:p w14:paraId="443D9E60" w14:textId="77777777" w:rsidR="00A74FB2" w:rsidRDefault="00A74FB2"/>
    <w:p w14:paraId="0AF19E5F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008CA9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55FA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36BE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F357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3DB9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B3DB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</w:t>
            </w:r>
            <w:r>
              <w:rPr>
                <w:b/>
                <w:sz w:val="18"/>
              </w:rPr>
              <w:t>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C635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4343BD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5B426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1CDC9E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84AF8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0B259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213.150,37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6BC8A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BBEC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8CFF63B" w14:textId="77777777" w:rsidR="00A74FB2" w:rsidRDefault="00A74FB2">
      <w:pPr>
        <w:spacing w:after="0"/>
      </w:pPr>
    </w:p>
    <w:p w14:paraId="7D25F63E" w14:textId="77777777" w:rsidR="00A74FB2" w:rsidRDefault="0005028C">
      <w:r>
        <w:t>Odstupanje je u odnosu na prethodno izvještajno razdoblje zbog ukidanja konta 193 od 01.01.2025.  </w:t>
      </w:r>
    </w:p>
    <w:p w14:paraId="3464AD4C" w14:textId="77777777" w:rsidR="00A74FB2" w:rsidRDefault="00A74FB2"/>
    <w:p w14:paraId="1559115B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4C8852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B943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2F39B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8360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EB27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26BD5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F9F2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472E21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DB448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59E2E7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2B353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65735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220.069,06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C873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242.650,39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BFF4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</w:tbl>
    <w:p w14:paraId="4FBEDD95" w14:textId="77777777" w:rsidR="00A74FB2" w:rsidRDefault="00A74FB2">
      <w:pPr>
        <w:spacing w:after="0"/>
      </w:pPr>
    </w:p>
    <w:p w14:paraId="68477997" w14:textId="77777777" w:rsidR="00A74FB2" w:rsidRDefault="0005028C">
      <w:r>
        <w:t>U prethodnom izvještajnom razdoblju su iskazane manje obveze u odnosu na tekuće izvještajno razdoblje. Razlog odstupanja su veći rashodi za plaću zbog većeg broja djelatnika i pomoćnika u nastavi ,većih troškova za plaću, te knjiženja plaće za 12/2025. kao</w:t>
      </w:r>
      <w:r>
        <w:t xml:space="preserve"> trošak 2025.g.</w:t>
      </w:r>
    </w:p>
    <w:p w14:paraId="1910753E" w14:textId="77777777" w:rsidR="00A74FB2" w:rsidRDefault="00A74FB2"/>
    <w:p w14:paraId="276E87C5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7D5BA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B458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7A91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E5E5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56BD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81C0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415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2598B4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B6983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B9F3A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86FB4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21B24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27.625,38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80A40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26.178,40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DE860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14:paraId="6E5ABF40" w14:textId="77777777" w:rsidR="00A74FB2" w:rsidRDefault="00A74FB2">
      <w:pPr>
        <w:spacing w:after="0"/>
      </w:pPr>
    </w:p>
    <w:p w14:paraId="2A67FF79" w14:textId="77777777" w:rsidR="00A74FB2" w:rsidRDefault="0005028C">
      <w:r>
        <w:t>U prethodnom izvještajnom razdoblju su iskazane veće obveze u odnosu na tekuće izvještajno razdoblje. Razlog odstupanja je manja potreba za materijalnim rashodima u 12/2025.</w:t>
      </w:r>
    </w:p>
    <w:p w14:paraId="72C09D4B" w14:textId="77777777" w:rsidR="00A74FB2" w:rsidRDefault="0005028C">
      <w:r>
        <w:t> </w:t>
      </w:r>
    </w:p>
    <w:p w14:paraId="625F4C5E" w14:textId="77777777" w:rsidR="00A74FB2" w:rsidRDefault="00A74FB2"/>
    <w:p w14:paraId="7D019161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45F8E4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33145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607C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5EDE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3C999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9CBE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</w:t>
            </w:r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FFDD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0D6D07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073CA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46FF79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39ECB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FC9C9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CD70C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2B59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309,8</w:t>
            </w:r>
          </w:p>
        </w:tc>
      </w:tr>
    </w:tbl>
    <w:p w14:paraId="2ABBC7DE" w14:textId="77777777" w:rsidR="00A74FB2" w:rsidRDefault="00A74FB2">
      <w:pPr>
        <w:spacing w:after="0"/>
      </w:pPr>
    </w:p>
    <w:p w14:paraId="00EF4A2C" w14:textId="77777777" w:rsidR="00A74FB2" w:rsidRDefault="0005028C">
      <w:r>
        <w:t>Povećane obveze za financijske rashode u odnosu na prethodno razdoblje zbog većeg platnog prometa preko žiro računa HPB u 2025, te radi isplate 137.400,00€ za sufinanciranje nabave udžbenika za učenike srednjih škola za školsku godinu 2025/2026.</w:t>
      </w:r>
    </w:p>
    <w:p w14:paraId="76FD2823" w14:textId="77777777" w:rsidR="00A74FB2" w:rsidRDefault="00A74FB2"/>
    <w:p w14:paraId="68F9C2B8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3D7287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009E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89C7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747E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DB45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B740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DDF0B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628298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5949E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B36577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847A5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14E5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86CA7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D09EC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335436" w14:textId="77777777" w:rsidR="00A74FB2" w:rsidRDefault="00A74FB2">
      <w:pPr>
        <w:spacing w:after="0"/>
      </w:pPr>
    </w:p>
    <w:p w14:paraId="17326799" w14:textId="77777777" w:rsidR="00A74FB2" w:rsidRDefault="0005028C">
      <w:r>
        <w:t>Obveze se odnose na ostatak neisplaćenog iznosa za sufinanciranje nabave udžbenika za učenike srednjih škola u 2025.g.</w:t>
      </w:r>
    </w:p>
    <w:p w14:paraId="03BD131B" w14:textId="77777777" w:rsidR="00A74FB2" w:rsidRDefault="00A74FB2"/>
    <w:p w14:paraId="0792A0F8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41BBB3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5F96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CA2F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444A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9B42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1D41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2B44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27342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10C35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CE2B36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CAE48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6B6B5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BFA38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B2697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6AB61D4" w14:textId="77777777" w:rsidR="00A74FB2" w:rsidRDefault="00A74FB2">
      <w:pPr>
        <w:spacing w:after="0"/>
      </w:pPr>
    </w:p>
    <w:p w14:paraId="47D4C4ED" w14:textId="77777777" w:rsidR="00A74FB2" w:rsidRDefault="0005028C">
      <w:r>
        <w:t>Obveze se odnose na bolovanje preko 42 dana na teret HZZO. Nema iznosa u odnosu na prethodno izvještajno razdoblje zbog ukidanja konta 23985 i prebačaja na novi konto 27612.</w:t>
      </w:r>
    </w:p>
    <w:p w14:paraId="489399CE" w14:textId="77777777" w:rsidR="00A74FB2" w:rsidRDefault="00A74FB2"/>
    <w:p w14:paraId="61804847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60864D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1C0D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F7A9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E596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7C15E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218E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2230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2F4434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9F4C9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4077EA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55559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83595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5C97CF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88B48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8BE4F3" w14:textId="77777777" w:rsidR="00A74FB2" w:rsidRDefault="00A74FB2">
      <w:pPr>
        <w:spacing w:after="0"/>
      </w:pPr>
    </w:p>
    <w:p w14:paraId="1FDB2F46" w14:textId="77777777" w:rsidR="00A74FB2" w:rsidRDefault="0005028C">
      <w:r>
        <w:t>Obveze se odnose na bolovanje preko 42 dana na teret HZZO. Iznos postoji u odnosu na prethodno izvještajno razdoblje zbog toga što se iznos bolovanja na teret HZZO-a sa konta 23958 prebacilo na konto 27612.</w:t>
      </w:r>
    </w:p>
    <w:p w14:paraId="36B1409C" w14:textId="77777777" w:rsidR="00A74FB2" w:rsidRDefault="00A74FB2"/>
    <w:p w14:paraId="490872A5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6882BA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2F2D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B063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A12D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2B2E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6231C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D9ED2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5C9F88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F1809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A10B8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06200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C56EA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-23.634,46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7F42B2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-256.996,95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E91E2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1087,4</w:t>
            </w:r>
          </w:p>
        </w:tc>
      </w:tr>
    </w:tbl>
    <w:p w14:paraId="6F4885BC" w14:textId="77777777" w:rsidR="00A74FB2" w:rsidRDefault="00A74FB2">
      <w:pPr>
        <w:spacing w:after="0"/>
      </w:pPr>
    </w:p>
    <w:p w14:paraId="4C3F7EEC" w14:textId="77777777" w:rsidR="00A74FB2" w:rsidRDefault="0005028C">
      <w:r>
        <w:t>U prethodnom izvještajnom razdoblju ostvaren je manjak u iznosu od 23.634,46€, a u tekućem izvještajnom razdoblju manjak od 256.996,95 €. Razlog zbog kojeg je došlo do većeg  odstupanja je činjenica da će rashodi iz 2025.g. za materijalne troškove biti pla</w:t>
      </w:r>
      <w:r>
        <w:t>ćeni u 2026. godini kao i plaća, materijalna prava od MZO, naknada za invalide, II dohodak za 12/2025.  Napravljena je korekcija rezultata u iznosu od  3.000,00€ za kapitalna ulaganja  (konto 63622 iznos 900,00€ koji se odnosi na lektire i konto 67121 za k</w:t>
      </w:r>
      <w:r>
        <w:t>njige za knjižnicu za 2.100,00 € ).</w:t>
      </w:r>
    </w:p>
    <w:p w14:paraId="3AF506DD" w14:textId="77777777" w:rsidR="00A74FB2" w:rsidRDefault="00A74FB2"/>
    <w:p w14:paraId="65153209" w14:textId="77777777" w:rsidR="00A74FB2" w:rsidRDefault="0005028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792D76BB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74FB2" w14:paraId="1B5578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0E09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5CA77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5127F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34EC0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119E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C94CD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1493B7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BD1D6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ADDFB3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BB184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5E67B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2.818.884,93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7A1C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3.424.980,37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5FF66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01E28D79" w14:textId="77777777" w:rsidR="00A74FB2" w:rsidRDefault="00A74FB2">
      <w:pPr>
        <w:spacing w:after="0"/>
      </w:pPr>
    </w:p>
    <w:p w14:paraId="6B5A1852" w14:textId="77777777" w:rsidR="00A74FB2" w:rsidRDefault="0005028C">
      <w:r>
        <w:t xml:space="preserve">Ukupni  rashodi  poslovanja  od 01. siječnja do 31. prosinca 2025.g.  iznose 3.424.980,37€ , razvrstane na rashode za zaposlene, na materijalne rashode, financijske, naknade građanima i kućanstvima, ostali nespomenuti rashodi (rashodi poslovanja razreda 3 </w:t>
      </w:r>
      <w:r>
        <w:t>koji iznose 3.419.131,47€) i rashodi za nabavu nefinancijske imovine razreda 4 koji iznose 5.848,90€. U ovom izvještajnom razdoblju imamo veće rashode u odnosu na prethodno godišnje razdoblje radi porasta troška plaće, većeg broja zaposlenika i pomoćnika u</w:t>
      </w:r>
      <w:r>
        <w:t xml:space="preserve"> nastavi, te većih troškova za materijalne rashode radi povećanja cijena.</w:t>
      </w:r>
    </w:p>
    <w:p w14:paraId="7A63F8ED" w14:textId="77777777" w:rsidR="00A74FB2" w:rsidRDefault="00A74FB2"/>
    <w:p w14:paraId="685185AB" w14:textId="77777777" w:rsidR="00A74FB2" w:rsidRDefault="0005028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A81EEC7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74FB2" w14:paraId="01F48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2133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83DC3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62354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61DEA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67006" w14:textId="77777777" w:rsidR="00A74FB2" w:rsidRDefault="0005028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74FB2" w14:paraId="62D2CA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C9ED5" w14:textId="77777777" w:rsidR="00A74FB2" w:rsidRDefault="00A74FB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60C7F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</w:t>
            </w:r>
            <w:r>
              <w:rPr>
                <w:sz w:val="18"/>
              </w:rPr>
              <w:t>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A610A" w14:textId="77777777" w:rsidR="00A74FB2" w:rsidRDefault="0005028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9B50C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10.830,11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33CDE" w14:textId="77777777" w:rsidR="00A74FB2" w:rsidRDefault="0005028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BA69231" w14:textId="77777777" w:rsidR="00A74FB2" w:rsidRDefault="00A74FB2">
      <w:pPr>
        <w:spacing w:after="0"/>
      </w:pPr>
    </w:p>
    <w:p w14:paraId="50435125" w14:textId="77777777" w:rsidR="00A74FB2" w:rsidRDefault="0005028C">
      <w:r>
        <w:t xml:space="preserve">Stanje dospjelih obveza na kraju izvještajnoga razdoblja iznosi 10.830,11 € a odnosi se na materijalne rashode odnosno račune koji imaju rok </w:t>
      </w:r>
      <w:proofErr w:type="spellStart"/>
      <w:r>
        <w:t>dospjeća</w:t>
      </w:r>
      <w:proofErr w:type="spellEnd"/>
      <w:r>
        <w:t xml:space="preserve"> do 30 dana ( odnosno do 31.12.2025. ) te nisu podmireni do 31.12.2025. Poslani su županiji na plaćanje pre</w:t>
      </w:r>
      <w:r>
        <w:t>ko novoga sustava riznice, te je navedene dospjele obveze županija podmirila u 01/2026.godine.</w:t>
      </w:r>
    </w:p>
    <w:p w14:paraId="418CCF22" w14:textId="77777777" w:rsidR="00A74FB2" w:rsidRDefault="00A74FB2"/>
    <w:p w14:paraId="51F32B42" w14:textId="77777777" w:rsidR="00A74FB2" w:rsidRDefault="0005028C">
      <w:pPr>
        <w:keepNext/>
        <w:spacing w:line="240" w:lineRule="auto"/>
        <w:jc w:val="center"/>
      </w:pPr>
      <w:r>
        <w:rPr>
          <w:sz w:val="28"/>
        </w:rPr>
        <w:t>Bilješka 36.</w:t>
      </w:r>
    </w:p>
    <w:p w14:paraId="78CF6FFE" w14:textId="77777777" w:rsidR="00A74FB2" w:rsidRDefault="0005028C">
      <w:pPr>
        <w:spacing w:line="240" w:lineRule="auto"/>
        <w:jc w:val="both"/>
      </w:pPr>
      <w:r>
        <w:rPr>
          <w:b/>
        </w:rPr>
        <w:t>EU izvještaj</w:t>
      </w:r>
    </w:p>
    <w:p w14:paraId="49086E7D" w14:textId="77777777" w:rsidR="00A74FB2" w:rsidRDefault="0005028C">
      <w:r>
        <w:t>Nema odstupanja u odnosu na prethodno razdoblje budući da u prethodnom razdoblju nije bila obaveza popunjavanja ovoga izvještaja.</w:t>
      </w:r>
    </w:p>
    <w:p w14:paraId="63839E21" w14:textId="5F219247" w:rsidR="00A74FB2" w:rsidRDefault="00A74FB2"/>
    <w:p w14:paraId="25F58CBB" w14:textId="4BD6D32F" w:rsidR="0005028C" w:rsidRDefault="0005028C">
      <w:r>
        <w:t>Ravnatelj :                                                                              Voditeljica računovodstva:</w:t>
      </w:r>
    </w:p>
    <w:p w14:paraId="2AB558F1" w14:textId="58515C79" w:rsidR="0005028C" w:rsidRDefault="0005028C">
      <w:r>
        <w:t xml:space="preserve">Stipe </w:t>
      </w:r>
      <w:proofErr w:type="spellStart"/>
      <w:r>
        <w:t>Ivišić</w:t>
      </w:r>
      <w:proofErr w:type="spellEnd"/>
      <w:r>
        <w:t xml:space="preserve">                                                                             Jadranka Grčić-Rako</w:t>
      </w:r>
    </w:p>
    <w:p w14:paraId="62EA12CE" w14:textId="4D5E6D92" w:rsidR="0005028C" w:rsidRDefault="0005028C">
      <w:r>
        <w:t>__________                                                                           ______________</w:t>
      </w:r>
    </w:p>
    <w:p w14:paraId="1660D28D" w14:textId="59ACD47B" w:rsidR="0005028C" w:rsidRDefault="0005028C">
      <w:r>
        <w:t>U Sinju, 02.02.2026.</w:t>
      </w:r>
    </w:p>
    <w:sectPr w:rsidR="00050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B2"/>
    <w:rsid w:val="0005028C"/>
    <w:rsid w:val="00A7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5E92"/>
  <w15:docId w15:val="{1F3BEDDF-AF91-472A-9B8C-865741DE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3417</Words>
  <Characters>19478</Characters>
  <Application>Microsoft Office Word</Application>
  <DocSecurity>0</DocSecurity>
  <Lines>162</Lines>
  <Paragraphs>45</Paragraphs>
  <ScaleCrop>false</ScaleCrop>
  <Company/>
  <LinksUpToDate>false</LinksUpToDate>
  <CharactersWithSpaces>22850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2</cp:revision>
  <cp:lastPrinted>2026-02-02T14:05:00Z</cp:lastPrinted>
  <dcterms:created xsi:type="dcterms:W3CDTF">2026-02-02T14:12:00Z</dcterms:created>
  <dcterms:modified xsi:type="dcterms:W3CDTF">2026-02-02T14:12:00Z</dcterms:modified>
</cp:coreProperties>
</file>